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10858500</wp:posOffset>
            </wp:positionH>
            <wp:positionV relativeFrom="topMargin">
              <wp:posOffset>11772900</wp:posOffset>
            </wp:positionV>
            <wp:extent cx="317500" cy="406400"/>
            <wp:effectExtent l="0" t="0" r="6350" b="1270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注意事项：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1．答题前，考生务必将自己的姓名、准考证号写在答题卡和该试题卷的封面上，并认真核对条形码上的姓名、准考证号和科目。</w:t>
      </w:r>
      <w:bookmarkStart w:id="0" w:name="_GoBack"/>
      <w:bookmarkEnd w:id="0"/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2．考生作答时，选择题和非选择题均须做在答题卡上，在本试题卷上答题无效。考生在答题卡上按答题卡中注意事项的要求答题。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3．考试结束后，将本试题卷和答题卡一并交回。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4．本试题卷共6页，如缺页，考生须声明，否则后果自负。</w:t>
      </w:r>
    </w:p>
    <w:p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怀化市中小学课程改革教育质量监测试卷</w:t>
      </w:r>
    </w:p>
    <w:p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2021年上期期末考试高二地理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一、选择题：本题共16小题，每小题3分，共48分。在每小题给出的四个选项中，只有一项是符合题目要求的。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ascii="Times New Roman" w:hAnsi="Times New Roman" w:eastAsia="楷体"/>
        </w:rPr>
        <w:t>图1示意某大城市主干道沿线的房价变化，图中住宅小区均为普通楼盘。</w:t>
      </w:r>
      <w:r>
        <w:rPr>
          <w:rFonts w:ascii="Times New Roman" w:hAnsi="Times New Roman"/>
        </w:rPr>
        <w:t>据此完成1～2题。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619500" cy="149796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6063" cy="15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>图1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1．与其它住宅小区相比，M小区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A．占地面积大，容积率较低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B．楼层低，以多层建筑为主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C．楼间距大，绿化面积较大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D．出租率高，公寓形式居多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2．公共区域的功能不同，会引发其周边小区房价有差异，P、Q可能是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A．P可能是铁路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B．P可能是河流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C．Q可能是学校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D．Q可能是公园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Times New Roman" w:hAnsi="Times New Roman" w:eastAsia="楷体"/>
        </w:rPr>
        <w:t>干热河谷是指高温、低湿河谷地带，大多分布于热带或亚热带地区。区域内光热资源丰富，气候炎热少雨，水土流失严重，生态十分脆弱，寒、旱、风、虫、草、火等自然灾害特别突出。图</w:t>
      </w:r>
      <w:r>
        <w:rPr>
          <w:rFonts w:ascii="Times New Roman" w:hAnsi="Times New Roman" w:eastAsia="楷体"/>
        </w:rPr>
        <w:t>2</w:t>
      </w:r>
      <w:r>
        <w:rPr>
          <w:rFonts w:hint="eastAsia" w:ascii="Times New Roman" w:hAnsi="Times New Roman" w:eastAsia="楷体"/>
        </w:rPr>
        <w:t>为金沙江（</w:t>
      </w:r>
      <w:r>
        <w:rPr>
          <w:rFonts w:ascii="Times New Roman" w:hAnsi="Times New Roman" w:eastAsia="楷体"/>
        </w:rPr>
        <w:t>28°N</w:t>
      </w:r>
      <w:r>
        <w:rPr>
          <w:rFonts w:hint="eastAsia" w:ascii="Times New Roman" w:hAnsi="Times New Roman" w:eastAsia="楷体"/>
        </w:rPr>
        <w:t>）某干热河谷两岸植被的垂直分布情况。</w:t>
      </w:r>
      <w:r>
        <w:rPr>
          <w:rFonts w:hint="eastAsia" w:ascii="Times New Roman" w:hAnsi="Times New Roman"/>
        </w:rPr>
        <w:t>据此完成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～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题。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4514850" cy="1657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图2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3．干热河谷景观形成的主要原因是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①当地人多年的乱砍滥伐导致植被破坏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②越过山体的风在背风坡下沉增温致使河谷干旱即“焚风效应”显著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③受山谷风局地环流效应的影响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④常年受副热带高气压的影响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．①②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．②③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．③④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．①③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4．干热河谷成为一种珍稀的资源，据图推测当地政府以下做法</w:t>
      </w:r>
      <w:r>
        <w:rPr>
          <w:rFonts w:hint="eastAsia" w:ascii="Times New Roman" w:hAnsi="Times New Roman"/>
          <w:em w:val="dot"/>
        </w:rPr>
        <w:t>不合理</w:t>
      </w:r>
      <w:r>
        <w:rPr>
          <w:rFonts w:hint="eastAsia" w:ascii="Times New Roman" w:hAnsi="Times New Roman"/>
        </w:rPr>
        <w:t>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500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m以下，根据地形条件，适度发展热带水果种植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B．1500～2700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m，大规模植树造林，防治水土流失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C．2700～3100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m，适时处理林下枯枝，防止森林大火发生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D．4100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m以上，保护原生环境，减少人为干扰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Times New Roman" w:hAnsi="Times New Roman" w:eastAsia="楷体"/>
        </w:rPr>
        <w:t>秘鲁东南的圣母河（如图3）流域森林茂密，雨量丰沛，但季节分配不均，6～8月为旱季，12月到次年3月为雨量特别大的雨季。该河流因盛产沙金而远近闻名，考察发现其金粒主要来源于南部山区的岩浆岩和变质岩中。河流两侧被牛轭湖围绕的古河漫滩是沙金的高富集区。自上个世纪50年代发现沙金后，大量淘金者的迁入使圣母河沙金长期处于无序开采状态，对生态环境产生了极其严重的破坏。</w:t>
      </w:r>
      <w:r>
        <w:rPr>
          <w:rFonts w:hint="eastAsia" w:ascii="Times New Roman" w:hAnsi="Times New Roman"/>
        </w:rPr>
        <w:t>读图完成5～7题。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232150" cy="1880235"/>
            <wp:effectExtent l="0" t="0" r="635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7204" cy="188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图3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5．古河漫滩成为沙金高富集区的形成过程，说法</w:t>
      </w:r>
      <w:r>
        <w:rPr>
          <w:rFonts w:hint="eastAsia" w:ascii="Times New Roman" w:hAnsi="Times New Roman"/>
          <w:em w:val="dot"/>
        </w:rPr>
        <w:t>错误</w:t>
      </w:r>
      <w:r>
        <w:rPr>
          <w:rFonts w:hint="eastAsia" w:ascii="Times New Roman" w:hAnsi="Times New Roman"/>
        </w:rPr>
        <w:t>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A．南部山区地壳运动活跃，岩石易破裂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B．岩石裂隙易受流水侵蚀作用，含有金矿的岩浆岩和变质岩不断出露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C．受地转偏向力作用，河流北岸流速慢，含金沙石堆积形成边滩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D．河流裁弯取直，河漫滩废弃形成古河漫滩沙金富集区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6．圣母河的淘金者选择淘金的时间，及无序开采对该地生态环境的影响主要有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A．雨季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森林破坏严重、调节气候功能减弱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B．旱季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河流含沙量减少、河水浑浊度降低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C．雨季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污染水源、破坏水生生物生存环境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D．旱季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河道改变、水系紊乱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>．</w:t>
      </w:r>
      <w:r>
        <w:rPr>
          <w:rFonts w:hint="eastAsia" w:ascii="宋体" w:hAnsi="宋体" w:cs="宋体"/>
        </w:rPr>
        <w:t>秘鲁的矿产资源非常丰富，中国是秘鲁的主要投资国家，占秘鲁全国矿业投资的</w:t>
      </w:r>
      <w:r>
        <w:rPr>
          <w:rFonts w:ascii="Times New Roman" w:hAnsi="Times New Roman"/>
        </w:rPr>
        <w:t>23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12%</w:t>
      </w:r>
      <w:r>
        <w:rPr>
          <w:rFonts w:hint="eastAsia" w:ascii="Times New Roman" w:hAnsi="Times New Roman"/>
        </w:rPr>
        <w:t>，吸引中国企业投资秘鲁矿业的原因</w:t>
      </w:r>
      <w:r>
        <w:rPr>
          <w:rFonts w:hint="eastAsia" w:ascii="Times New Roman" w:hAnsi="Times New Roman"/>
          <w:em w:val="dot"/>
        </w:rPr>
        <w:t>不包括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A．矿产开发技术先进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B．未开发土地多，找矿潜力巨大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C．劳动力丰富廉价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D．政府政策支持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Times New Roman" w:hAnsi="Times New Roman" w:eastAsia="楷体"/>
        </w:rPr>
        <w:t>我国东部某山区有一AAAA级景区，2011～2017年游客数量持续增加，景区周边农家乐数量逐年增多，分布范围不断扩大。图4示意2011年、2014年和2017年景区周边农家乐的空间分布。</w:t>
      </w:r>
      <w:r>
        <w:rPr>
          <w:rFonts w:hint="eastAsia" w:ascii="Times New Roman" w:hAnsi="Times New Roman"/>
        </w:rPr>
        <w:t>据此完成第</w:t>
      </w: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～</w:t>
      </w:r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题。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448050" cy="18954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图4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8．2011～2017年农家乐空间分布的变化表现为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A．由点状到线状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B．分散程度加强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C．由线状到面状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D．集聚程度加强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9．与2017年农家乐空间分布关联最紧密的因素是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①景区位置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②村庄位置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③交通线路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④村庄规模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A．①③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B．①④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．②③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D．②④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Times New Roman" w:hAnsi="Times New Roman" w:eastAsia="楷体"/>
        </w:rPr>
        <w:t>恒河平原及三角洲地区农民大量种植单位面积产量比较低的深水稻。深水稻田可以养鱼，深水稻修长的茎能为鱼提供良好的栖身之所。</w:t>
      </w:r>
      <w:r>
        <w:rPr>
          <w:rFonts w:hint="eastAsia" w:ascii="Times New Roman" w:hAnsi="Times New Roman"/>
        </w:rPr>
        <w:t>图5示意南亚部分区域，据此完成第10～11题。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192020" cy="2082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9163" cy="208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hint="eastAsia" w:ascii="Times New Roman" w:hAnsi="Times New Roman"/>
        </w:rPr>
        <w:t>图5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10．关于金奈的降水特征及原因组合正确的是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A．夏季多，迎风坡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B．夏季多，暖流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C．冬季多，暖流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D．冬季多，迎风坡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11．关于恒河平原发展深水稻种植的叙述正确的是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①粮食受洪涝的影响大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②增加经济收入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③保持土壤肥力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④净化水体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A．①②③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B．②③④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．①②④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．①③④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Times New Roman" w:hAnsi="Times New Roman" w:eastAsia="楷体"/>
        </w:rPr>
        <w:t>长江流域、黄河流域和西北内陆地区是我国三大产棉区。2020年，新疆棉花产量占全国和世界总产量分别达87.3%和20%以上，机械采摘率已达69.8%。表1反映三大产棉区不同时段面积和单产对棉花产量的贡献率变化。</w:t>
      </w:r>
      <w:r>
        <w:rPr>
          <w:rFonts w:hint="eastAsia" w:ascii="Times New Roman" w:hAnsi="Times New Roman"/>
        </w:rPr>
        <w:t>据此完成第12～14题。</w:t>
      </w:r>
    </w:p>
    <w:p>
      <w:pPr>
        <w:spacing w:line="288" w:lineRule="auto"/>
        <w:rPr>
          <w:rFonts w:ascii="Times New Roman" w:hAnsi="Times New Roman" w:eastAsia="楷体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233045</wp:posOffset>
                </wp:positionV>
                <wp:extent cx="1701800" cy="361950"/>
                <wp:effectExtent l="0" t="0" r="317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18.35pt;height:28.5pt;width:134pt;z-index:251659264;mso-width-relative:page;mso-height-relative:page;" filled="f" stroked="t" coordsize="21600,21600" o:gfxdata="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goOo/WAAAABwEAAA8AAAAAAAAAAQAgAAAAIgAAAGRycy9k&#10;b3ducmV2LnhtbFBLAQIUABQAAAAIAIdO4kDFCRILywEAAGgDAAAOAAAAAAAAAAEAIAAAACU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296545</wp:posOffset>
                </wp:positionV>
                <wp:extent cx="1003300" cy="895350"/>
                <wp:effectExtent l="0" t="0" r="2540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23.35pt;height:70.5pt;width:79pt;z-index:251661312;mso-width-relative:page;mso-height-relative:page;" filled="f" stroked="t" coordsize="21600,21600" o:gfxdata="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PAajWAAAACAEAAA8AAAAAAAAAAQAgAAAAIgAAAGRycy9k&#10;b3ducmV2LnhtbFBLAQIUABQAAAAIAIdO4kANV7jJywEAAGgDAAAOAAAAAAAAAAEAIAAAACU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 w:eastAsia="楷体"/>
        </w:rPr>
        <w:tab/>
      </w:r>
      <w:r>
        <w:rPr>
          <w:rFonts w:ascii="Times New Roman" w:hAnsi="Times New Roman" w:eastAsia="楷体"/>
        </w:rPr>
        <w:t>表1</w:t>
      </w:r>
    </w:p>
    <w:tbl>
      <w:tblPr>
        <w:tblStyle w:val="7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992"/>
        <w:gridCol w:w="992"/>
        <w:gridCol w:w="992"/>
        <w:gridCol w:w="993"/>
        <w:gridCol w:w="992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restart"/>
          </w:tcPr>
          <w:p>
            <w:pPr>
              <w:spacing w:line="288" w:lineRule="auto"/>
              <w:jc w:val="right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产棉区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贡献率（%）</w:t>
            </w:r>
          </w:p>
          <w:p>
            <w:pPr>
              <w:spacing w:line="288" w:lineRule="auto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时段</w:t>
            </w:r>
          </w:p>
          <w:p>
            <w:pPr>
              <w:spacing w:line="288" w:lineRule="auto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（年）</w:t>
            </w:r>
          </w:p>
        </w:tc>
        <w:tc>
          <w:tcPr>
            <w:tcW w:w="1984" w:type="dxa"/>
            <w:gridSpan w:val="2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长江流域</w:t>
            </w:r>
          </w:p>
        </w:tc>
        <w:tc>
          <w:tcPr>
            <w:tcW w:w="1985" w:type="dxa"/>
            <w:gridSpan w:val="2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黄河流域</w:t>
            </w:r>
          </w:p>
        </w:tc>
        <w:tc>
          <w:tcPr>
            <w:tcW w:w="2064" w:type="dxa"/>
            <w:gridSpan w:val="2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西北内陆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89" w:type="dxa"/>
            <w:vMerge w:val="continue"/>
          </w:tcPr>
          <w:p>
            <w:pPr>
              <w:spacing w:line="288" w:lineRule="auto"/>
              <w:rPr>
                <w:rFonts w:ascii="Times New Roman" w:hAnsi="Times New Roman" w:eastAsia="楷体"/>
              </w:rPr>
            </w:pP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面积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单产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面积</w:t>
            </w:r>
          </w:p>
        </w:tc>
        <w:tc>
          <w:tcPr>
            <w:tcW w:w="993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单产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面积</w:t>
            </w:r>
          </w:p>
        </w:tc>
        <w:tc>
          <w:tcPr>
            <w:tcW w:w="1072" w:type="dxa"/>
          </w:tcPr>
          <w:p>
            <w:pPr>
              <w:spacing w:line="288" w:lineRule="auto"/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单产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</w:t>
            </w:r>
            <w:r>
              <w:rPr>
                <w:rFonts w:hint="eastAsia"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>1965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22.61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30.27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26.85</w:t>
            </w:r>
          </w:p>
        </w:tc>
        <w:tc>
          <w:tcPr>
            <w:tcW w:w="99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48.61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52.38</w:t>
            </w:r>
          </w:p>
        </w:tc>
        <w:tc>
          <w:tcPr>
            <w:tcW w:w="107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8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1965—1980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18.77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46.74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20.37</w:t>
            </w:r>
          </w:p>
        </w:tc>
        <w:tc>
          <w:tcPr>
            <w:tcW w:w="99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52.78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34.92</w:t>
            </w:r>
          </w:p>
        </w:tc>
        <w:tc>
          <w:tcPr>
            <w:tcW w:w="107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  <w:r>
              <w:rPr>
                <w:rFonts w:hint="eastAsia"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>1995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30.65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37.55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50.93</w:t>
            </w:r>
          </w:p>
        </w:tc>
        <w:tc>
          <w:tcPr>
            <w:tcW w:w="99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30.56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47.62</w:t>
            </w:r>
          </w:p>
        </w:tc>
        <w:tc>
          <w:tcPr>
            <w:tcW w:w="107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1995—2010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55.56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19.16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62.04</w:t>
            </w:r>
          </w:p>
        </w:tc>
        <w:tc>
          <w:tcPr>
            <w:tcW w:w="99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17.13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61.90</w:t>
            </w:r>
          </w:p>
        </w:tc>
        <w:tc>
          <w:tcPr>
            <w:tcW w:w="107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010</w:t>
            </w:r>
            <w:r>
              <w:rPr>
                <w:rFonts w:hint="eastAsia"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57.47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26.44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68.06</w:t>
            </w:r>
          </w:p>
        </w:tc>
        <w:tc>
          <w:tcPr>
            <w:tcW w:w="99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99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66.67</w:t>
            </w:r>
          </w:p>
        </w:tc>
        <w:tc>
          <w:tcPr>
            <w:tcW w:w="107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.52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12．从自然因素考虑，影响三大产棉区棉花生长的共性条件是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A．丰沛的降水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B．昼夜温差大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C．充足的光热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．肥沃的土壤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13．三大产棉区中对棉花产量贡献一直以面积为主导的是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A．长江流域棉区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B．黄河流域棉区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C．西北内陆棉区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．三大棉区皆是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14．近年来新疆棉花产量在全国占比进一步增大主要得益于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①土地资源丰富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②沙漠化强度减弱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③机械化水平高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④气候暖湿化加强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A．①②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B．①③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C．②④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．③④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Times New Roman" w:hAnsi="Times New Roman" w:eastAsia="楷体"/>
        </w:rPr>
        <w:t>埃及当地时间</w:t>
      </w:r>
      <w:r>
        <w:rPr>
          <w:rFonts w:ascii="Times New Roman" w:hAnsi="Times New Roman" w:eastAsia="楷体"/>
        </w:rPr>
        <w:t>2021</w:t>
      </w:r>
      <w:r>
        <w:rPr>
          <w:rFonts w:hint="eastAsia" w:ascii="Times New Roman" w:hAnsi="Times New Roman" w:eastAsia="楷体"/>
        </w:rPr>
        <w:t>年</w:t>
      </w:r>
      <w:r>
        <w:rPr>
          <w:rFonts w:ascii="Times New Roman" w:hAnsi="Times New Roman" w:eastAsia="楷体"/>
        </w:rPr>
        <w:t>3</w:t>
      </w:r>
      <w:r>
        <w:rPr>
          <w:rFonts w:hint="eastAsia" w:ascii="Times New Roman" w:hAnsi="Times New Roman" w:eastAsia="楷体"/>
        </w:rPr>
        <w:t>月</w:t>
      </w:r>
      <w:r>
        <w:rPr>
          <w:rFonts w:ascii="Times New Roman" w:hAnsi="Times New Roman" w:eastAsia="楷体"/>
        </w:rPr>
        <w:t>23</w:t>
      </w:r>
      <w:r>
        <w:rPr>
          <w:rFonts w:hint="eastAsia" w:ascii="Times New Roman" w:hAnsi="Times New Roman" w:eastAsia="楷体"/>
        </w:rPr>
        <w:t>日到</w:t>
      </w:r>
      <w:r>
        <w:rPr>
          <w:rFonts w:ascii="Times New Roman" w:hAnsi="Times New Roman" w:eastAsia="楷体"/>
        </w:rPr>
        <w:t>3</w:t>
      </w:r>
      <w:r>
        <w:rPr>
          <w:rFonts w:hint="eastAsia" w:ascii="Times New Roman" w:hAnsi="Times New Roman" w:eastAsia="楷体"/>
        </w:rPr>
        <w:t>月</w:t>
      </w:r>
      <w:r>
        <w:rPr>
          <w:rFonts w:ascii="Times New Roman" w:hAnsi="Times New Roman" w:eastAsia="楷体"/>
        </w:rPr>
        <w:t>29</w:t>
      </w:r>
      <w:r>
        <w:rPr>
          <w:rFonts w:hint="eastAsia" w:ascii="Times New Roman" w:hAnsi="Times New Roman" w:eastAsia="楷体"/>
        </w:rPr>
        <w:t>日一艘重型集装箱货轮“长赐号”堵在苏伊士运河航道，造成附近几百艘船排队等待，给全球供应链带来重大影响。但运河堵塞并非对所有人都是坏消息，俄罗斯方面就借机“挑战”传统的亚欧航线，推销运营北极航道。</w:t>
      </w:r>
      <w:r>
        <w:rPr>
          <w:rFonts w:hint="eastAsia" w:ascii="Times New Roman" w:hAnsi="Times New Roman"/>
        </w:rPr>
        <w:t>据此完成第</w:t>
      </w:r>
      <w:r>
        <w:rPr>
          <w:rFonts w:ascii="Times New Roman" w:hAnsi="Times New Roman"/>
        </w:rPr>
        <w:t>15</w:t>
      </w:r>
      <w:r>
        <w:rPr>
          <w:rFonts w:hint="eastAsia" w:ascii="Times New Roman" w:hAnsi="Times New Roman"/>
        </w:rPr>
        <w:t>～</w:t>
      </w:r>
      <w:r>
        <w:rPr>
          <w:rFonts w:ascii="Times New Roman" w:hAnsi="Times New Roman"/>
        </w:rPr>
        <w:t>16</w:t>
      </w:r>
      <w:r>
        <w:rPr>
          <w:rFonts w:hint="eastAsia" w:ascii="Times New Roman" w:hAnsi="Times New Roman"/>
        </w:rPr>
        <w:t>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15．俄罗斯推销“北极航道”的依据有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①全球变暖，北冰洋海域严寒与大风天气急剧减少，通航安全性增加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②北极航道较传统亚欧航线，通航时间缩短，成本降低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③北极航道海域宽广，船只不易搁浅与迷航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④造船技术的进步，船只牢固性和破冰功能不断提升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A．①②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B．①③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C．②④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D．③④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16．另一条重要的国际运河——巴拿马运河，其太平洋沿岸出入口的利蒙湾东、西两面都设有海防堤（如图6、图7）。据图推测，海防堤的主要作用是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4133850" cy="2171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>图6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图7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A．阻止大型鱼类进入海湾，确保通航船只安全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B．减缓风速与海浪侵袭，提供平稳通航环境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C．形成狭管效应，推动大型货轮进出运河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D．减少海水倒灌，保证运河水质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二、综合题：共52分。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17．阅读图文材料，完成下列要求。（18分）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宋体" w:hAnsi="宋体"/>
        </w:rPr>
        <w:t>材料一</w:t>
      </w:r>
      <w:r>
        <w:rPr>
          <w:rFonts w:hint="eastAsia" w:ascii="Times New Roman" w:hAnsi="Times New Roman" w:eastAsia="楷体"/>
        </w:rPr>
        <w:t xml:space="preserve"> 设施农业通常指采用人工建造设施，通过改善或创造局部环境，使传统农业在一定程度上摆脱气候和季节等自然条件的约束，实现农产品反季节上市或常年生产，进而提高土地现实生产力的农业。人工气候控制包括温度、湿度、光照、碳含量等，耗能多的部分主要是温度控制和人工光照，除控温和光照外，是否有狂风暴雨、冰雹、高热、洪涝等破坏性自然灾害也很重要。现在，设施农业已在西藏形成规模并有继续扩大之势。西藏白朗县位于日喀则市东南部，平均海拔4000米以上，曾被誉为西藏的粮仓。随着农业结构的调整，白朗大力发展蔬菜种植，其现代农业产业园已成为西藏首家成功入选2018年国家现代农业的产业园。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宋体" w:hAnsi="宋体"/>
        </w:rPr>
        <w:t>材料二</w:t>
      </w:r>
      <w:r>
        <w:rPr>
          <w:rFonts w:hint="eastAsia" w:ascii="Times New Roman" w:hAnsi="Times New Roman" w:eastAsia="楷体"/>
        </w:rPr>
        <w:t xml:space="preserve"> 白朗县所在的“一江两河”（雅鲁藏布江及其支流拉萨河和年楚河）地区示意图。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5250180" cy="2800350"/>
            <wp:effectExtent l="0" t="0" r="762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4476" cy="280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图8西藏“一江两河”中部流域地区地貌图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（1）分析白朗县成为西藏粮仓的自然原因。（6分）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（2）“全国蔬菜看寿光，西藏蔬菜看白朗”，分析白朗发展设施农业可利用的资源条件。（6分）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（3）请推测白朗县采取哪些技术手段克服果蔬种植的不利自然条件。（6分）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18．阅读图文材料，完成下列问题。（16分）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宋体" w:hAnsi="宋体"/>
        </w:rPr>
        <w:t>材料一</w:t>
      </w:r>
      <w:r>
        <w:rPr>
          <w:rFonts w:hint="eastAsia" w:ascii="Times New Roman" w:hAnsi="Times New Roman" w:eastAsia="楷体"/>
        </w:rPr>
        <w:t xml:space="preserve"> 有“冰与火之国”之誉的冰岛，海洋性冰川发育。海洋性冰川的主要标志是冰川层的平均冰温接近</w:t>
      </w:r>
      <w:r>
        <w:rPr>
          <w:rFonts w:ascii="Times New Roman" w:hAnsi="Times New Roman" w:eastAsia="楷体"/>
        </w:rPr>
        <w:t>0℃</w:t>
      </w:r>
      <w:r>
        <w:rPr>
          <w:rFonts w:hint="eastAsia" w:ascii="Times New Roman" w:hAnsi="Times New Roman" w:eastAsia="楷体"/>
        </w:rPr>
        <w:t>，冰温较高。冰岛冰原（被大量冰雪覆盖的大面积陆地）中发育有大量的冰川洞穴。冰川融水是冰洞的始作俑者。当冰川内部融水蓄积过多，一旦冲破禁锢破冰而出，就会释放出巨量的洪水，并形成一个开放的冰洞。图9中甲示意冰岛冰原及火山带分布，乙示意冰厚冰洞内部融水的蓄积过程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5524500" cy="141224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5359" cy="141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>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乙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</w:t>
      </w:r>
      <w:r>
        <w:rPr>
          <w:rFonts w:ascii="Times New Roman" w:hAnsi="Times New Roman"/>
        </w:rPr>
        <w:t>9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宋体" w:hAnsi="宋体"/>
        </w:rPr>
        <w:t>材料二</w:t>
      </w:r>
      <w:r>
        <w:rPr>
          <w:rFonts w:hint="eastAsia" w:ascii="Times New Roman" w:hAnsi="Times New Roman" w:eastAsia="楷体"/>
        </w:rPr>
        <w:t xml:space="preserve"> 草皮屋，是北欧地区流传千年的建筑方式，留存于挪威、丹麦和冰岛等国家。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（1）据材料一，指出冰岛冰原主要分布在岛屿的________部，并分析其成因。（4分）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（2）据材料一，试描叙冰川内部融水的蓄积过程。（6分）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（3）试分析草皮屋成为冰岛传统民居的主要原因。（6分）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19．阅读图文材料，完成下列要求。（18分）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宋体" w:hAnsi="宋体"/>
        </w:rPr>
        <w:t>材料一</w:t>
      </w:r>
      <w:r>
        <w:rPr>
          <w:rFonts w:hint="eastAsia" w:ascii="Times New Roman" w:hAnsi="Times New Roman" w:eastAsia="楷体"/>
        </w:rPr>
        <w:t xml:space="preserve"> “泾渭分明”的形成一般需要具备两个基本条件：一是水体颜色相差大，二是相汇河水流速相近。2020年5月25日，某摄友航拍到西江下游顺德区两侧出现“一水双色，泾渭分明”的景观。甘竹滩是个江心洲，位于西江支流与甘竹溪的分流口。20世纪70年代前，由于河道狭窄，河口突兀，滩口礁石密布，洪潮落差大，是航运事故频发的险滩。70年代初，相关部门在甘竹滩截流，开挖人工河道，建成集发电、航运、分洪于一体的水利枢纽。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宋体" w:hAnsi="宋体"/>
        </w:rPr>
        <w:t>材料二</w:t>
      </w:r>
      <w:r>
        <w:rPr>
          <w:rFonts w:hint="eastAsia" w:ascii="Times New Roman" w:hAnsi="Times New Roman" w:eastAsia="楷体"/>
        </w:rPr>
        <w:t xml:space="preserve"> 甘竹滩“泾渭分明”景观图与甘竹滩洪潮发电站工程位置图（图10）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5283200" cy="1840230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9036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图10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</w:rPr>
      </w:pPr>
      <w:r>
        <w:rPr>
          <w:rFonts w:hint="eastAsia" w:ascii="宋体" w:hAnsi="宋体"/>
        </w:rPr>
        <w:t>材料三</w:t>
      </w:r>
      <w:r>
        <w:rPr>
          <w:rFonts w:hint="eastAsia" w:ascii="Times New Roman" w:hAnsi="Times New Roman" w:eastAsia="楷体"/>
        </w:rPr>
        <w:t xml:space="preserve"> 西江梧州水文观测站径流量、输沙量、降水量年内分布统计图（图11）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362200" cy="249999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8283" cy="250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（1）分析5月份甘竹滩两侧河水“一水双色”颜色差异大的主要原因。（4分）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（2）判断水流交汇处“泾渭分明”现象出现在二期工程大坝建成前还是建成后，并阐述理由。（6分）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（3）读材料三，描述西江输沙量的年内分布特征，并推测其输沙量大的自然条件。（8分）</w:t>
      </w: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2021年怀化市高二期末考试答案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单项选择题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DBBBC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DADAD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BCCBC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综合题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17、（1）农田多分布在4000米以下的河谷地带，热量条件较好；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河流沿岸，地形较平坦；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河流宽谷地区，水流较缓慢，土层较深厚肥沃；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西南季风在雨季带来较丰沛的降水；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河流较多，灌溉水源充足。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（2）太阳能资源丰富：海拔高，晴天多，日照强烈且日照时间长；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独特的气候资源：高原昼夜温差大，水、土、空气基本无污染；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丰富的地热资源：西藏地热分布广，放热强度大，为温室农业提供丰富的能源；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丰富的林下凋落物资源：藏东南林区林下凋落物丰富，可以开发成优质基质，进行集约化种苗培育；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丰富的畜牧业副产品资源：牦牛粪发展沼气，牦牛毛制作温室保温被。（答到加粗的黑体字部分就可以给分）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（3）改变设施结构，充分利用太阳能；（温室墙体采用蓄热性能强的材料蓄积太阳能、利用太阳能热水器蓄积太阳能、建立太阳能发电温室）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在地热区建立温室群，充分利用地热资源；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当地土壤较贫瘠，发展集约化育苗技术，充分利用林下凋落物资源；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结合沼气推广，发展生态温室农业；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开发牧业副产品，充分利用牦牛毛制作保温覆盖材料。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18、（1）中南部（2分）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中南部地势较高，气温更低；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受盛行西风和北大西洋暖流的影响，降水更丰富。（任答1点给2分）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（2）位于火山带，冰川底部地热丰富，导致冰川融化，形成融水；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冰温较高，随着夏季气温升高，冰川表面的融水、雨水及河湖水在冰表流动，通过冰裂隙和落水洞进入冰体；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水体通过冰下通道到达冰川底部，加上途中的冰隙融水，共同蓄积成为冰内融水。（答到加粗的部分即可给分）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（3）冰岛多火山岩，森林面积小，且树木生长极其缓慢，木材稀少；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草皮可再生、可就地取材；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与仅由木材或石头制成的建筑相比，草皮屋保温性能更强，冬季能很好地抵御冰岛的严寒；草皮屋的耐用性强，屋顶会不断长出新的干草。（答到加粗的部分即可给分）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19、（1）北侧河段为人工开挖河道，河床比降小，水动力弱，流速慢，河床底部泥沙不易被搅动，河水清澈呈绿色；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南侧为天然河道，河床比降大，水动力强，流速快，河床底部泥沙易被搅动，河水荤浊呈棕色。（答到加粗的部分即可给分）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（2）建成后；（2分）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理由：二期工程大坝建成前甘竹溪南侧河流落差、流速远高于北侧，较少出现泾渭分明；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工程建成后降低了南侧河流落差，减缓了河流流速，使其与北侧河流流速相近，更易出现泾渭分明现象。（4分）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（3）年内分布不匀，集中在6—8（5—9）月。（2分）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年降水量丰富，径流量大，输沙力强；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降水集中且多暴雨，冲刷力强；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流域内地形以山地丘陵为主，土壤侵蚀强烈。（3点6分）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00017" name="图片 10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图片 1000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90D"/>
    <w:rsid w:val="000460FF"/>
    <w:rsid w:val="00054E7B"/>
    <w:rsid w:val="000571FF"/>
    <w:rsid w:val="0007615B"/>
    <w:rsid w:val="00087686"/>
    <w:rsid w:val="000C7CA8"/>
    <w:rsid w:val="000E4D02"/>
    <w:rsid w:val="000E4FF1"/>
    <w:rsid w:val="001177F3"/>
    <w:rsid w:val="00132C8A"/>
    <w:rsid w:val="001529C2"/>
    <w:rsid w:val="001673FB"/>
    <w:rsid w:val="00171458"/>
    <w:rsid w:val="00173C1D"/>
    <w:rsid w:val="001764C3"/>
    <w:rsid w:val="0018010E"/>
    <w:rsid w:val="0018042E"/>
    <w:rsid w:val="00191C29"/>
    <w:rsid w:val="001C63DA"/>
    <w:rsid w:val="001D0477"/>
    <w:rsid w:val="001D0C6F"/>
    <w:rsid w:val="001D29ED"/>
    <w:rsid w:val="00201A7E"/>
    <w:rsid w:val="00204526"/>
    <w:rsid w:val="00221FC9"/>
    <w:rsid w:val="00243EE4"/>
    <w:rsid w:val="00244CEF"/>
    <w:rsid w:val="002457C2"/>
    <w:rsid w:val="00251B9A"/>
    <w:rsid w:val="002814A1"/>
    <w:rsid w:val="002908F0"/>
    <w:rsid w:val="00291FF9"/>
    <w:rsid w:val="0029424B"/>
    <w:rsid w:val="002A0E5D"/>
    <w:rsid w:val="002A1A21"/>
    <w:rsid w:val="002E05F7"/>
    <w:rsid w:val="002F06B2"/>
    <w:rsid w:val="002F1006"/>
    <w:rsid w:val="003102DB"/>
    <w:rsid w:val="00317697"/>
    <w:rsid w:val="00335D10"/>
    <w:rsid w:val="003625C4"/>
    <w:rsid w:val="00395D07"/>
    <w:rsid w:val="003B1712"/>
    <w:rsid w:val="003C4A95"/>
    <w:rsid w:val="003D0C09"/>
    <w:rsid w:val="00404D00"/>
    <w:rsid w:val="004062F6"/>
    <w:rsid w:val="00430A44"/>
    <w:rsid w:val="00435A5D"/>
    <w:rsid w:val="00435F83"/>
    <w:rsid w:val="00440E1C"/>
    <w:rsid w:val="00444A46"/>
    <w:rsid w:val="00455DDE"/>
    <w:rsid w:val="00460C51"/>
    <w:rsid w:val="0046214C"/>
    <w:rsid w:val="0049183B"/>
    <w:rsid w:val="004B44B5"/>
    <w:rsid w:val="004D44FD"/>
    <w:rsid w:val="0059145F"/>
    <w:rsid w:val="005942C2"/>
    <w:rsid w:val="00596076"/>
    <w:rsid w:val="00596279"/>
    <w:rsid w:val="005B39DB"/>
    <w:rsid w:val="005B7E92"/>
    <w:rsid w:val="005C2124"/>
    <w:rsid w:val="005E4833"/>
    <w:rsid w:val="005E5542"/>
    <w:rsid w:val="005F1362"/>
    <w:rsid w:val="00605626"/>
    <w:rsid w:val="006068E9"/>
    <w:rsid w:val="006071D5"/>
    <w:rsid w:val="00613112"/>
    <w:rsid w:val="006145A6"/>
    <w:rsid w:val="0062039B"/>
    <w:rsid w:val="00623C16"/>
    <w:rsid w:val="00637D3A"/>
    <w:rsid w:val="00640BF5"/>
    <w:rsid w:val="006C3B17"/>
    <w:rsid w:val="006C3C72"/>
    <w:rsid w:val="006C3EB1"/>
    <w:rsid w:val="006D5DE9"/>
    <w:rsid w:val="006F3904"/>
    <w:rsid w:val="006F45E0"/>
    <w:rsid w:val="00701D6B"/>
    <w:rsid w:val="007029E6"/>
    <w:rsid w:val="00702DCC"/>
    <w:rsid w:val="007061B2"/>
    <w:rsid w:val="00733600"/>
    <w:rsid w:val="00740A09"/>
    <w:rsid w:val="00760BC1"/>
    <w:rsid w:val="00762E26"/>
    <w:rsid w:val="0078368D"/>
    <w:rsid w:val="00796D1B"/>
    <w:rsid w:val="007A269D"/>
    <w:rsid w:val="007B3A50"/>
    <w:rsid w:val="007C2C70"/>
    <w:rsid w:val="008028B5"/>
    <w:rsid w:val="00811AA7"/>
    <w:rsid w:val="00812F11"/>
    <w:rsid w:val="00826F08"/>
    <w:rsid w:val="00832EC9"/>
    <w:rsid w:val="0085395E"/>
    <w:rsid w:val="008634CD"/>
    <w:rsid w:val="008731FA"/>
    <w:rsid w:val="00880A38"/>
    <w:rsid w:val="00887F03"/>
    <w:rsid w:val="00893DD6"/>
    <w:rsid w:val="00896634"/>
    <w:rsid w:val="008D2E94"/>
    <w:rsid w:val="0090343B"/>
    <w:rsid w:val="00924A95"/>
    <w:rsid w:val="009352D1"/>
    <w:rsid w:val="00935DBB"/>
    <w:rsid w:val="00945A62"/>
    <w:rsid w:val="00974E0F"/>
    <w:rsid w:val="00982128"/>
    <w:rsid w:val="00995823"/>
    <w:rsid w:val="00996830"/>
    <w:rsid w:val="009A235B"/>
    <w:rsid w:val="009A27BF"/>
    <w:rsid w:val="009B5666"/>
    <w:rsid w:val="009C4021"/>
    <w:rsid w:val="009C4252"/>
    <w:rsid w:val="009E175D"/>
    <w:rsid w:val="009E22D3"/>
    <w:rsid w:val="009F531D"/>
    <w:rsid w:val="00A00F27"/>
    <w:rsid w:val="00A02385"/>
    <w:rsid w:val="00A07DF2"/>
    <w:rsid w:val="00A13D91"/>
    <w:rsid w:val="00A25B3F"/>
    <w:rsid w:val="00A405DB"/>
    <w:rsid w:val="00A46D54"/>
    <w:rsid w:val="00A51026"/>
    <w:rsid w:val="00A536B0"/>
    <w:rsid w:val="00A96C58"/>
    <w:rsid w:val="00AB3EE3"/>
    <w:rsid w:val="00AC0386"/>
    <w:rsid w:val="00AD4827"/>
    <w:rsid w:val="00AD6B6A"/>
    <w:rsid w:val="00AF070D"/>
    <w:rsid w:val="00AF47CB"/>
    <w:rsid w:val="00B07B62"/>
    <w:rsid w:val="00B1346F"/>
    <w:rsid w:val="00B416A4"/>
    <w:rsid w:val="00B43686"/>
    <w:rsid w:val="00B45C47"/>
    <w:rsid w:val="00B474DE"/>
    <w:rsid w:val="00B50C98"/>
    <w:rsid w:val="00B61223"/>
    <w:rsid w:val="00B646E9"/>
    <w:rsid w:val="00B65DA9"/>
    <w:rsid w:val="00B73811"/>
    <w:rsid w:val="00B80D67"/>
    <w:rsid w:val="00B8100F"/>
    <w:rsid w:val="00B82B46"/>
    <w:rsid w:val="00B96924"/>
    <w:rsid w:val="00BB50C6"/>
    <w:rsid w:val="00BE61D7"/>
    <w:rsid w:val="00BF1EE3"/>
    <w:rsid w:val="00BF5B8E"/>
    <w:rsid w:val="00C02815"/>
    <w:rsid w:val="00C321EB"/>
    <w:rsid w:val="00C76309"/>
    <w:rsid w:val="00CA4A07"/>
    <w:rsid w:val="00CB596D"/>
    <w:rsid w:val="00CE36BC"/>
    <w:rsid w:val="00CF013C"/>
    <w:rsid w:val="00D03C8B"/>
    <w:rsid w:val="00D1652A"/>
    <w:rsid w:val="00D4153B"/>
    <w:rsid w:val="00D51257"/>
    <w:rsid w:val="00D56FE7"/>
    <w:rsid w:val="00D634C2"/>
    <w:rsid w:val="00D67F9D"/>
    <w:rsid w:val="00D756B6"/>
    <w:rsid w:val="00D77C03"/>
    <w:rsid w:val="00D77F6E"/>
    <w:rsid w:val="00D92A5A"/>
    <w:rsid w:val="00D94585"/>
    <w:rsid w:val="00DA0796"/>
    <w:rsid w:val="00DA5448"/>
    <w:rsid w:val="00DB6888"/>
    <w:rsid w:val="00DC061C"/>
    <w:rsid w:val="00DC3C6A"/>
    <w:rsid w:val="00DF071B"/>
    <w:rsid w:val="00E17FEB"/>
    <w:rsid w:val="00E22C2C"/>
    <w:rsid w:val="00E53D94"/>
    <w:rsid w:val="00E63075"/>
    <w:rsid w:val="00E655E6"/>
    <w:rsid w:val="00E97096"/>
    <w:rsid w:val="00EA0188"/>
    <w:rsid w:val="00EB17B4"/>
    <w:rsid w:val="00EC5100"/>
    <w:rsid w:val="00ED1550"/>
    <w:rsid w:val="00ED4F9A"/>
    <w:rsid w:val="00ED7D6A"/>
    <w:rsid w:val="00EE1A37"/>
    <w:rsid w:val="00EE52F9"/>
    <w:rsid w:val="00F129E9"/>
    <w:rsid w:val="00F21C80"/>
    <w:rsid w:val="00F233A7"/>
    <w:rsid w:val="00F367F0"/>
    <w:rsid w:val="00F676FD"/>
    <w:rsid w:val="00F72514"/>
    <w:rsid w:val="00FA0944"/>
    <w:rsid w:val="00FA6947"/>
    <w:rsid w:val="00FB34D2"/>
    <w:rsid w:val="00FB4B17"/>
    <w:rsid w:val="00FC39A4"/>
    <w:rsid w:val="00FC5860"/>
    <w:rsid w:val="00FD377B"/>
    <w:rsid w:val="00FF2D79"/>
    <w:rsid w:val="00FF517A"/>
    <w:rsid w:val="2AE27B5C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标题 #1_"/>
    <w:basedOn w:val="4"/>
    <w:link w:val="12"/>
    <w:qFormat/>
    <w:uiPriority w:val="0"/>
    <w:rPr>
      <w:rFonts w:ascii="宋体" w:hAnsi="宋体" w:cs="宋体"/>
      <w:sz w:val="32"/>
      <w:szCs w:val="32"/>
      <w:lang w:val="zh-CN" w:bidi="zh-CN"/>
    </w:rPr>
  </w:style>
  <w:style w:type="paragraph" w:customStyle="1" w:styleId="12">
    <w:name w:val="标题 #1"/>
    <w:basedOn w:val="1"/>
    <w:link w:val="11"/>
    <w:qFormat/>
    <w:uiPriority w:val="0"/>
    <w:pPr>
      <w:spacing w:after="60"/>
      <w:jc w:val="center"/>
      <w:outlineLvl w:val="0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13">
    <w:name w:val="正文文本_"/>
    <w:basedOn w:val="4"/>
    <w:link w:val="14"/>
    <w:qFormat/>
    <w:uiPriority w:val="0"/>
    <w:rPr>
      <w:rFonts w:ascii="宋体" w:hAnsi="宋体" w:cs="宋体"/>
      <w:lang w:val="zh-CN" w:bidi="zh-CN"/>
    </w:rPr>
  </w:style>
  <w:style w:type="paragraph" w:customStyle="1" w:styleId="14">
    <w:name w:val="正文文本1"/>
    <w:basedOn w:val="1"/>
    <w:link w:val="13"/>
    <w:qFormat/>
    <w:uiPriority w:val="0"/>
    <w:pPr>
      <w:spacing w:line="329" w:lineRule="auto"/>
      <w:jc w:val="left"/>
    </w:pPr>
    <w:rPr>
      <w:rFonts w:ascii="宋体" w:hAnsi="宋体" w:cs="宋体"/>
      <w:kern w:val="0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F2E0E-FA32-4607-B173-DBAB5C98A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4708</Words>
  <Characters>4995</Characters>
  <Lines>37</Lines>
  <Paragraphs>10</Paragraphs>
  <TotalTime>0</TotalTime>
  <ScaleCrop>false</ScaleCrop>
  <LinksUpToDate>false</LinksUpToDate>
  <CharactersWithSpaces>5132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2021-07-10T08:52:36Z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