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21"/>
        <w:spacing w:after="200" w:line="276" w:lineRule="auto"/>
        <w:jc w:val="center"/>
        <w:rPr>
          <w:rStyle w:val="10"/>
          <w:rFonts w:hint="eastAsia" w:ascii="Heiti SC Medium" w:hAnsi="Heiti SC Medium" w:eastAsia="Heiti SC Medium" w:cs="Heiti SC Medium"/>
          <w:b/>
          <w:bCs/>
          <w:sz w:val="36"/>
          <w:szCs w:val="36"/>
        </w:rPr>
      </w:pPr>
      <w:r>
        <w:rPr>
          <w:rStyle w:val="10"/>
          <w:rFonts w:hint="eastAsia" w:ascii="Heiti SC Medium" w:hAnsi="Heiti SC Medium" w:eastAsia="Heiti SC Medium" w:cs="Heiti SC Medium"/>
          <w:b/>
          <w:bCs/>
          <w:sz w:val="36"/>
          <w:szCs w:val="36"/>
        </w:rPr>
        <w:t>西南大学附属中学校高2021级第五次月考</w:t>
      </w:r>
    </w:p>
    <w:p>
      <w:pPr>
        <w:pStyle w:val="21"/>
        <w:spacing w:after="200" w:line="276" w:lineRule="auto"/>
        <w:jc w:val="center"/>
        <w:rPr>
          <w:rStyle w:val="10"/>
          <w:rFonts w:hint="eastAsia" w:ascii="Heiti SC Medium" w:hAnsi="Heiti SC Medium" w:eastAsia="Heiti SC Medium" w:cs="Heiti SC Medium"/>
          <w:b/>
          <w:bCs/>
          <w:sz w:val="36"/>
          <w:szCs w:val="36"/>
        </w:rPr>
      </w:pPr>
      <w:r>
        <w:rPr>
          <w:rStyle w:val="10"/>
          <w:rFonts w:hint="eastAsia" w:ascii="Heiti SC Medium" w:hAnsi="Heiti SC Medium" w:eastAsia="Heiti SC Medium" w:cs="Heiti SC Medium"/>
          <w:b/>
          <w:bCs/>
          <w:sz w:val="36"/>
          <w:szCs w:val="36"/>
        </w:rPr>
        <w:t>地理试题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  <w:rFonts w:hint="eastAsia"/>
        </w:rPr>
        <w:t>一、选择题：本大题共</w:t>
      </w:r>
      <w:r>
        <w:rPr>
          <w:rStyle w:val="10"/>
        </w:rPr>
        <w:t>15</w:t>
      </w:r>
      <w:r>
        <w:rPr>
          <w:rStyle w:val="10"/>
          <w:rFonts w:hint="eastAsia"/>
        </w:rPr>
        <w:t>个小题；在每小题的四个备选项中，只有一个最符合题意。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 xml:space="preserve">    </w:t>
      </w:r>
      <w:r>
        <w:rPr>
          <w:rStyle w:val="10"/>
          <w:rFonts w:hint="eastAsia"/>
        </w:rPr>
        <w:t>古吉拉特邦位于印度西部，是印度国内较早实现开放的地区之一，工业制造业是邦内重要经济支柱。中国、美国、日本、德国等国的著名企业纷纷在萨纳恩德工业区建厂。下图为古吉拉特邦位置示意图。据此完成</w:t>
      </w:r>
      <w:r>
        <w:rPr>
          <w:rStyle w:val="10"/>
        </w:rPr>
        <w:t>1</w:t>
      </w:r>
      <w:r>
        <w:rPr>
          <w:rStyle w:val="10"/>
          <w:rFonts w:hint="eastAsia"/>
        </w:rPr>
        <w:t>～</w:t>
      </w:r>
      <w:r>
        <w:rPr>
          <w:rStyle w:val="10"/>
        </w:rPr>
        <w:t>2</w:t>
      </w:r>
      <w:r>
        <w:rPr>
          <w:rStyle w:val="10"/>
          <w:rFonts w:hint="eastAsia"/>
        </w:rPr>
        <w:t>题。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drawing>
          <wp:inline distT="0" distB="0" distL="0" distR="0">
            <wp:extent cx="4762500" cy="2192020"/>
            <wp:effectExtent l="0" t="0" r="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1255" cy="219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1</w:t>
      </w:r>
      <w:r>
        <w:rPr>
          <w:rStyle w:val="10"/>
          <w:rFonts w:hint="eastAsia"/>
        </w:rPr>
        <w:t>．因地制宜，适合古吉拉特邦引进的资源密集型产业是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A</w:t>
      </w:r>
      <w:r>
        <w:rPr>
          <w:rStyle w:val="10"/>
          <w:rFonts w:hint="eastAsia"/>
        </w:rPr>
        <w:t>．微电子工业</w:t>
      </w:r>
      <w:r>
        <w:rPr>
          <w:rStyle w:val="10"/>
        </w:rPr>
        <w:t xml:space="preserve">    B</w:t>
      </w:r>
      <w:r>
        <w:rPr>
          <w:rStyle w:val="10"/>
          <w:rFonts w:hint="eastAsia"/>
        </w:rPr>
        <w:t>．木材加工业</w:t>
      </w:r>
      <w:r>
        <w:rPr>
          <w:rStyle w:val="10"/>
        </w:rPr>
        <w:t xml:space="preserve">    C</w:t>
      </w:r>
      <w:r>
        <w:rPr>
          <w:rStyle w:val="10"/>
          <w:rFonts w:hint="eastAsia"/>
        </w:rPr>
        <w:t>．石油化工业</w:t>
      </w:r>
      <w:r>
        <w:rPr>
          <w:rStyle w:val="10"/>
        </w:rPr>
        <w:t xml:space="preserve">    D</w:t>
      </w:r>
      <w:r>
        <w:rPr>
          <w:rStyle w:val="10"/>
          <w:rFonts w:hint="eastAsia"/>
        </w:rPr>
        <w:t>．有色冶金业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2</w:t>
      </w:r>
      <w:r>
        <w:rPr>
          <w:rStyle w:val="10"/>
          <w:rFonts w:hint="eastAsia"/>
        </w:rPr>
        <w:t>．外国企业纷纷集聚在萨纳恩德工业区建厂，最主要目的是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A</w:t>
      </w:r>
      <w:r>
        <w:rPr>
          <w:rStyle w:val="10"/>
          <w:rFonts w:hint="eastAsia"/>
        </w:rPr>
        <w:t>．共用基础设施</w:t>
      </w:r>
      <w:r>
        <w:rPr>
          <w:rStyle w:val="10"/>
        </w:rPr>
        <w:t xml:space="preserve">    B</w:t>
      </w:r>
      <w:r>
        <w:rPr>
          <w:rStyle w:val="10"/>
          <w:rFonts w:hint="eastAsia"/>
        </w:rPr>
        <w:t>．提升品牌知名度</w:t>
      </w:r>
      <w:r>
        <w:rPr>
          <w:rStyle w:val="10"/>
        </w:rPr>
        <w:t xml:space="preserve">    C</w:t>
      </w:r>
      <w:r>
        <w:rPr>
          <w:rStyle w:val="10"/>
          <w:rFonts w:hint="eastAsia"/>
        </w:rPr>
        <w:t>．降低原料运费</w:t>
      </w:r>
      <w:r>
        <w:rPr>
          <w:rStyle w:val="10"/>
        </w:rPr>
        <w:t xml:space="preserve">    D</w:t>
      </w:r>
      <w:r>
        <w:rPr>
          <w:rStyle w:val="10"/>
          <w:rFonts w:hint="eastAsia"/>
        </w:rPr>
        <w:t>．便于协作交流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 xml:space="preserve">    </w:t>
      </w:r>
      <w:r>
        <w:rPr>
          <w:rStyle w:val="10"/>
          <w:rFonts w:hint="eastAsia"/>
        </w:rPr>
        <w:t>高端人才占有率，指的是一个地区高端人才占全国高端人才总量的比重。高端人才密度是指在一个区域内，每千名</w:t>
      </w:r>
      <w:r>
        <w:rPr>
          <w:rStyle w:val="10"/>
        </w:rPr>
        <w:t>6</w:t>
      </w:r>
      <w:r>
        <w:rPr>
          <w:rStyle w:val="10"/>
          <w:rFonts w:hint="eastAsia"/>
        </w:rPr>
        <w:t>岁以上人口中所拥有的高端人才数量。下表为我国三省市的高端人才占有率和人才密度及变化情况表</w:t>
      </w:r>
      <w:r>
        <w:rPr>
          <w:rStyle w:val="10"/>
        </w:rPr>
        <w:t>（2000</w:t>
      </w:r>
      <w:r>
        <w:rPr>
          <w:rStyle w:val="10"/>
          <w:rFonts w:hint="eastAsia"/>
        </w:rPr>
        <w:t>～</w:t>
      </w:r>
      <w:r>
        <w:rPr>
          <w:rStyle w:val="10"/>
        </w:rPr>
        <w:t>2015）</w:t>
      </w:r>
      <w:r>
        <w:rPr>
          <w:rStyle w:val="10"/>
          <w:rFonts w:hint="eastAsia"/>
        </w:rPr>
        <w:t>。据此完成</w:t>
      </w:r>
      <w:r>
        <w:rPr>
          <w:rStyle w:val="10"/>
        </w:rPr>
        <w:t>3</w:t>
      </w:r>
      <w:r>
        <w:rPr>
          <w:rStyle w:val="10"/>
          <w:rFonts w:hint="eastAsia"/>
        </w:rPr>
        <w:t>～</w:t>
      </w:r>
      <w:r>
        <w:rPr>
          <w:rStyle w:val="10"/>
        </w:rPr>
        <w:t>4</w:t>
      </w:r>
      <w:r>
        <w:rPr>
          <w:rStyle w:val="10"/>
          <w:rFonts w:hint="eastAsia"/>
        </w:rPr>
        <w:t>题。</w:t>
      </w:r>
    </w:p>
    <w:tbl>
      <w:tblPr>
        <w:tblStyle w:val="8"/>
        <w:tblW w:w="6868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4"/>
        <w:gridCol w:w="1144"/>
        <w:gridCol w:w="1204"/>
        <w:gridCol w:w="1204"/>
        <w:gridCol w:w="1086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144" w:type="dxa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</w:rPr>
            </w:pPr>
            <w:r>
              <w:rPr>
                <w:rStyle w:val="10"/>
                <w:rFonts w:hint="eastAsia"/>
              </w:rPr>
              <w:t>年份</w:t>
            </w:r>
          </w:p>
        </w:tc>
        <w:tc>
          <w:tcPr>
            <w:tcW w:w="1204" w:type="dxa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</w:rPr>
            </w:pPr>
            <w:r>
              <w:rPr>
                <w:rStyle w:val="10"/>
                <w:rFonts w:hint="eastAsia"/>
              </w:rPr>
              <w:t>甲</w:t>
            </w:r>
          </w:p>
        </w:tc>
        <w:tc>
          <w:tcPr>
            <w:tcW w:w="1204" w:type="dxa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</w:rPr>
            </w:pPr>
            <w:r>
              <w:rPr>
                <w:rStyle w:val="10"/>
                <w:rFonts w:hint="eastAsia"/>
              </w:rPr>
              <w:t>乙</w:t>
            </w:r>
          </w:p>
        </w:tc>
        <w:tc>
          <w:tcPr>
            <w:tcW w:w="1086" w:type="dxa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</w:rPr>
            </w:pPr>
            <w:r>
              <w:rPr>
                <w:rStyle w:val="10"/>
                <w:rFonts w:hint="eastAsia"/>
              </w:rPr>
              <w:t>丙</w:t>
            </w:r>
          </w:p>
        </w:tc>
        <w:tc>
          <w:tcPr>
            <w:tcW w:w="1086" w:type="dxa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</w:rPr>
            </w:pPr>
            <w:r>
              <w:rPr>
                <w:rStyle w:val="10"/>
                <w:rFonts w:hint="eastAsia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144" w:type="dxa"/>
            <w:vMerge w:val="restart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</w:rPr>
            </w:pPr>
            <w:r>
              <w:rPr>
                <w:rStyle w:val="10"/>
                <w:rFonts w:hint="eastAsia"/>
              </w:rPr>
              <w:t>高端人才占有率</w:t>
            </w:r>
          </w:p>
        </w:tc>
        <w:tc>
          <w:tcPr>
            <w:tcW w:w="1144" w:type="dxa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</w:rPr>
            </w:pPr>
            <w:r>
              <w:rPr>
                <w:rStyle w:val="10"/>
              </w:rPr>
              <w:t>2000</w:t>
            </w:r>
          </w:p>
        </w:tc>
        <w:tc>
          <w:tcPr>
            <w:tcW w:w="1204" w:type="dxa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</w:rPr>
            </w:pPr>
            <w:r>
              <w:rPr>
                <w:rStyle w:val="10"/>
              </w:rPr>
              <w:t>19.53</w:t>
            </w:r>
            <w:r>
              <w:rPr>
                <w:rStyle w:val="10"/>
                <w:rFonts w:hint="eastAsia"/>
              </w:rPr>
              <w:t>％</w:t>
            </w:r>
          </w:p>
        </w:tc>
        <w:tc>
          <w:tcPr>
            <w:tcW w:w="1204" w:type="dxa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</w:rPr>
            </w:pPr>
            <w:r>
              <w:rPr>
                <w:rStyle w:val="10"/>
              </w:rPr>
              <w:t>8.62</w:t>
            </w:r>
            <w:r>
              <w:rPr>
                <w:rStyle w:val="10"/>
                <w:rFonts w:hint="eastAsia"/>
              </w:rPr>
              <w:t>％</w:t>
            </w:r>
          </w:p>
        </w:tc>
        <w:tc>
          <w:tcPr>
            <w:tcW w:w="1086" w:type="dxa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</w:rPr>
            </w:pPr>
            <w:r>
              <w:rPr>
                <w:rStyle w:val="10"/>
              </w:rPr>
              <w:t>8.78</w:t>
            </w:r>
            <w:r>
              <w:rPr>
                <w:rStyle w:val="10"/>
                <w:rFonts w:hint="eastAsia"/>
              </w:rPr>
              <w:t>％</w:t>
            </w:r>
          </w:p>
        </w:tc>
        <w:tc>
          <w:tcPr>
            <w:tcW w:w="1086" w:type="dxa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</w:rPr>
            </w:pPr>
            <w:r>
              <w:rPr>
                <w:rStyle w:val="10"/>
                <w:rFonts w:hint="eastAsi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144" w:type="dxa"/>
            <w:vMerge w:val="continue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</w:rPr>
            </w:pPr>
            <w:r>
              <w:rPr>
                <w:rStyle w:val="10"/>
              </w:rPr>
              <w:t>2015</w:t>
            </w:r>
          </w:p>
        </w:tc>
        <w:tc>
          <w:tcPr>
            <w:tcW w:w="1204" w:type="dxa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</w:rPr>
            </w:pPr>
            <w:r>
              <w:rPr>
                <w:rStyle w:val="10"/>
              </w:rPr>
              <w:t>18.20</w:t>
            </w:r>
            <w:r>
              <w:rPr>
                <w:rStyle w:val="10"/>
                <w:rFonts w:hint="eastAsia"/>
              </w:rPr>
              <w:t>％</w:t>
            </w:r>
          </w:p>
        </w:tc>
        <w:tc>
          <w:tcPr>
            <w:tcW w:w="1204" w:type="dxa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</w:rPr>
            </w:pPr>
            <w:r>
              <w:rPr>
                <w:rStyle w:val="10"/>
              </w:rPr>
              <w:t>8.30</w:t>
            </w:r>
            <w:r>
              <w:rPr>
                <w:rStyle w:val="10"/>
                <w:rFonts w:hint="eastAsia"/>
              </w:rPr>
              <w:t>％</w:t>
            </w:r>
          </w:p>
        </w:tc>
        <w:tc>
          <w:tcPr>
            <w:tcW w:w="1086" w:type="dxa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</w:rPr>
            </w:pPr>
            <w:r>
              <w:rPr>
                <w:rStyle w:val="10"/>
              </w:rPr>
              <w:t>5.03</w:t>
            </w:r>
            <w:r>
              <w:rPr>
                <w:rStyle w:val="10"/>
                <w:rFonts w:hint="eastAsia"/>
              </w:rPr>
              <w:t>％</w:t>
            </w:r>
          </w:p>
        </w:tc>
        <w:tc>
          <w:tcPr>
            <w:tcW w:w="1086" w:type="dxa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</w:rPr>
            </w:pPr>
            <w:r>
              <w:rPr>
                <w:rStyle w:val="10"/>
                <w:rFonts w:hint="eastAsi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144" w:type="dxa"/>
            <w:vMerge w:val="restart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</w:rPr>
            </w:pPr>
            <w:r>
              <w:rPr>
                <w:rStyle w:val="10"/>
                <w:rFonts w:hint="eastAsia"/>
              </w:rPr>
              <w:t>高端人才密度</w:t>
            </w:r>
          </w:p>
        </w:tc>
        <w:tc>
          <w:tcPr>
            <w:tcW w:w="1144" w:type="dxa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</w:rPr>
            </w:pPr>
            <w:r>
              <w:rPr>
                <w:rStyle w:val="10"/>
              </w:rPr>
              <w:t>2000</w:t>
            </w:r>
          </w:p>
        </w:tc>
        <w:tc>
          <w:tcPr>
            <w:tcW w:w="1204" w:type="dxa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</w:rPr>
            </w:pPr>
            <w:r>
              <w:rPr>
                <w:rStyle w:val="10"/>
              </w:rPr>
              <w:t>13.26</w:t>
            </w:r>
          </w:p>
        </w:tc>
        <w:tc>
          <w:tcPr>
            <w:tcW w:w="1204" w:type="dxa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</w:rPr>
            </w:pPr>
            <w:r>
              <w:rPr>
                <w:rStyle w:val="10"/>
              </w:rPr>
              <w:t>4.82</w:t>
            </w:r>
          </w:p>
        </w:tc>
        <w:tc>
          <w:tcPr>
            <w:tcW w:w="1086" w:type="dxa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</w:rPr>
            </w:pPr>
            <w:r>
              <w:rPr>
                <w:rStyle w:val="10"/>
              </w:rPr>
              <w:t>0.99</w:t>
            </w:r>
          </w:p>
        </w:tc>
        <w:tc>
          <w:tcPr>
            <w:tcW w:w="1086" w:type="dxa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</w:rPr>
            </w:pPr>
            <w:r>
              <w:rPr>
                <w:rStyle w:val="10"/>
              </w:rPr>
              <w:t>0.76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144" w:type="dxa"/>
            <w:vMerge w:val="continue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</w:rPr>
            </w:pPr>
            <w:r>
              <w:rPr>
                <w:rStyle w:val="10"/>
              </w:rPr>
              <w:t>2015</w:t>
            </w:r>
          </w:p>
        </w:tc>
        <w:tc>
          <w:tcPr>
            <w:tcW w:w="1204" w:type="dxa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</w:rPr>
            </w:pPr>
            <w:r>
              <w:rPr>
                <w:rStyle w:val="10"/>
              </w:rPr>
              <w:t>66.9</w:t>
            </w:r>
          </w:p>
        </w:tc>
        <w:tc>
          <w:tcPr>
            <w:tcW w:w="1204" w:type="dxa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</w:rPr>
            </w:pPr>
            <w:r>
              <w:rPr>
                <w:rStyle w:val="10"/>
              </w:rPr>
              <w:t>27.16</w:t>
            </w:r>
          </w:p>
        </w:tc>
        <w:tc>
          <w:tcPr>
            <w:tcW w:w="1086" w:type="dxa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</w:rPr>
            </w:pPr>
            <w:r>
              <w:rPr>
                <w:rStyle w:val="10"/>
              </w:rPr>
              <w:t>3.76</w:t>
            </w:r>
          </w:p>
        </w:tc>
        <w:tc>
          <w:tcPr>
            <w:tcW w:w="1086" w:type="dxa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</w:rPr>
            </w:pPr>
            <w:r>
              <w:rPr>
                <w:rStyle w:val="10"/>
              </w:rPr>
              <w:t>5.87</w:t>
            </w:r>
          </w:p>
        </w:tc>
      </w:tr>
    </w:tbl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3．明显受益于甲省市的劳动力结构的行业是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A．金融    B．对外贸易    C．人工智能    D．体育会展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4．三省市高端人才密度变化趋势与高端人才占有率变化趋势不同，主要得益于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A．高等教育发展    B．实施人才引进战略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C．人居条件改善    D．高新技术产业发展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 xml:space="preserve">    纽约和伦敦是全球重要的咖啡交易中心。长期以来，我国云南和东南亚的咖啡豆主要通过海路运往欧洲，但咖啡豆的长时间存放会影响品质。近年来，借助“中欧班列”的开通，重庆正发展成为我国重要的咖啡交易中心。据此完成5～6题。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5．与海运相比，中欧班列最大的优势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A．降低咖啡豆的成本    B．保障咖啡豆的品质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C．减少咖啡豆的中转    D．增加咖啡豆的运量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6．与重庆相比，纽约和伦敦成为世界咖啡交易中心的主要优势条件是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A．接近传统消费市场    B．接近优质原料产地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C．物流交通通达度高    D．食品研发技术先进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 xml:space="preserve">    2020年2月，乌克兰南极考察站发现“雪西瓜”。科学家表示，这是因为雪中含有一种名叫极地雪藻的微生物，它们适合在寒冷的气候中生存，并在气温低时保持“休眠”状态，气温高时会迅速生长，使雪呈现粉红色。据此完成7～8题。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7．相比普通的冰雪，“雪西瓜”的出现最可能会使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A．大气吸收增强    B．地面吸收减弱    C．地面辐射增强    D．大气逆辐射减弱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8．导致南极极地雪藻迅速生长的原因可能是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A．臭氧层空洞增大或者大气保温作用增强    B．酸雨减轻，全球变暖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C．南极附近暖流增强导致气温增高    D．阴雨天气增多导致大气逆辐射增强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 xml:space="preserve">    蒙古高原亦即东亚内陆高原，泛指亚洲东北部高原地区，东起大兴安岭、西至阿尔泰山，北界为萨彦岭、雅布洛诺夫山脉，南界为阴山山脉，范围包括蒙古国全境和中国内蒙北部。某研究因队将蒙古高原某地按海拔划分为5个高程带，统计了该地不同高程带10月至次年3月的平均积雪深度月变化（下图）。据此完成9～11题。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drawing>
          <wp:inline distT="0" distB="0" distL="0" distR="0">
            <wp:extent cx="3100705" cy="2533650"/>
            <wp:effectExtent l="0" t="0" r="4445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03909" cy="253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9．据图可知该地该时段内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A．降雪量10月最小，2月最大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B．10月～11月雪深增加得最多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C．海拔4226米处雪深变幅最大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D．各高程带，雪深与海拔正相关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10．该地1206～1638米高程带冬季平均雪</w:t>
      </w:r>
      <w:r>
        <w:rPr>
          <w:rStyle w:val="10"/>
          <w:rFonts w:hint="eastAsia"/>
        </w:rPr>
        <w:t>深最浅，其原因最可能是该高程带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A．坡度较大    B．降雪量少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C．太阳辐射强    D．大风日数多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11．经研究发现，蒙古高原东北部积雪深度最大，西南部积雪深度最小，主要是因为蒙古高原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A．地势西高东低、南高北低    B．水汽主要源自北冰洋和太平洋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C．年均气温由南向北逐渐降低    D．西南部植被覆盖率较东北部低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 xml:space="preserve">    安徽黄山是由岩浆多次侵入沉积岩并经地壳多次抬升形成。目前最高峰莲花峰海拔1864米，花岗岩出露面积约占总面积的70％。地质学家在黄山8个不同地区采集了8块岩石样品进行测试分析，部分测试结果如下图所示。据此完成12～13题。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drawing>
          <wp:inline distT="0" distB="0" distL="0" distR="0">
            <wp:extent cx="5274310" cy="1511300"/>
            <wp:effectExtent l="0" t="0" r="2540" b="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12．测试结果表明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A．隆升速率与年龄正相关    B．随着时间推移，黄山隆升加快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C．隆升幅度与隆升速率负相关    D．年龄与隆升幅度正相关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13．地质学家在黄山发现了下图所示地貌，说明黄山遭受了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drawing>
          <wp:inline distT="0" distB="0" distL="0" distR="0">
            <wp:extent cx="3590925" cy="1372870"/>
            <wp:effectExtent l="0" t="0" r="0" b="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89934" cy="137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A．风力侵蚀    B．流水侵蚀    C．冰川侵蚀    D．海水侵蚀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 xml:space="preserve">    平庆铁路是黄土高原地区新建铁路的典型代表，沿线地面平均自然纵坡度为10％。下图为平庆铁路线路纵断面示意图。据此完成14～15题。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drawing>
          <wp:inline distT="0" distB="0" distL="0" distR="0">
            <wp:extent cx="5274310" cy="1047750"/>
            <wp:effectExtent l="0" t="0" r="2540" b="0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14．平庆铁路桥隧较多，主要因为沿线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A．冻土广布    B．植被茂密    C．河湖遍布    D．沟谷众多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15．平庆铁路限制坡度应大于沿线地面平均自然纵坡度，这样可以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A．提高列车速度    B．提升乘坐舒适度    C．增强运输能力    D．缩短线路长度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  <w:rFonts w:hint="eastAsia"/>
        </w:rPr>
        <w:t>二、综合题：</w:t>
      </w:r>
      <w:r>
        <w:rPr>
          <w:rStyle w:val="10"/>
        </w:rPr>
        <w:t>16—18题为必考题，每个试题考生都必须作答。第19—20题为选考题，考生根据要求作答。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（一）必考题：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16．阅读图文材料，完成下列要求。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 xml:space="preserve">    黄河三角洲上某盐碱地栽种葡萄，盐碱地的温度升高特别缓慢，而适合的气温和地温是葡萄解除冬眠，开始生长发育的最重要条件。3月份农民将葡萄藤出土上架，灌水后用白色塑料薄膜搭建裙膜，有效促进了春季葡萄生长。下图为裙膜覆盖示意图。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drawing>
          <wp:inline distT="0" distB="0" distL="0" distR="0">
            <wp:extent cx="3409950" cy="2282190"/>
            <wp:effectExtent l="0" t="0" r="0" b="3810"/>
            <wp:docPr id="6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17506" cy="228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（1）说出搭建裙膜前灌水的原因。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（2）指出搭建裙膜的作用。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（3）5月中旬后裙膜会被农民彻底清除，请分析原因。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17．阅读图文材料，完成下列要求。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 xml:space="preserve">    研究森林土壤水分是揭示森林生态系统功能、评价森林环境综合效益的基础。下图是黑龙江省鹤山农场鹤北流域2号小流域的横坡林带和8号小流域的顺坡林带不同位置1 m深处土层监测期内平均含水量的变化情况。鹤北流域坡向朝向正西。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drawing>
          <wp:inline distT="0" distB="0" distL="0" distR="0">
            <wp:extent cx="5274310" cy="2486025"/>
            <wp:effectExtent l="0" t="0" r="2540" b="9525"/>
            <wp:docPr id="7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（1）分析横坡林带内部a处较林带边缘b处土壤含水量高的原因。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（2）推测顺坡林带内左侧d处土壤含水量大于右侧c处土壤含水量的原因。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（3）横坡林带、顺坡林带土壤含水量都远低于林带两侧，试分析原因。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18．阅读图文材料，完成下列要求。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 xml:space="preserve">    越南位于东南亚的中南半岛东部，北与中国广西、云南接壤，西与老挝、柬埔寨交界，国土狭长，面积约33万平方千米，紧邻中国海南，海岸线长3260多km。越南1986年开始实施改革开放。今年来，越南为了进一步促进外商投资，大力开发建设工业园区。截至2018年底，越南当地共建立工业园区326个，引进了约8000个外资项目。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 xml:space="preserve">    越南南部重点经济特区主要由以胡志明市为中心的8个省市组成。这个地区，特别是胡志明市周围，是全国最活跃的经济区域，被称为工业中心，良好的投资环境吸引了最多国外的直接投资。胡志明市是优良的大型港口城市，也是越南的经济中心之一。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（1）分析越南南部地区发展对外贸易的优势区位。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（2）说明大量外企入驻越南南部地区带来的影响。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（3）指出越南南部地区为优化投资环境采取的措施。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（二）选考题：请考生从2道题中任选一题作答，并用2B铅笔将答题卡上所选题目对应的题号右侧方框涂黑，按所涂题号进行评分；多涂、多答，按所涂的首题进行评分；不涂，按本选考题的首题进行评分。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19．【旅游地理】阅读材料，完成下列要求。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 xml:space="preserve">    近年来我国红色旅游迅猛发展。“原址观光模式”、“与自然结合的红绿结合模式”、“与地方民族民俗文化结合的红古结合模式”、“综合开发模式”是目前红色旅游市场开发较为主流的四大模式。但红色旅游客群狭窄，年轻人接受度较低。井冈山地处江西省西南部，湘赣两省交界的罗霄山脉中段，是中国共产党建立最早的革命根据地。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（1）井冈山红色旅游开发采用的是红绿结合开发模式，试分析原因。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（2）针对开拓红色旅游的青年市场，请提出合理化建议。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t>20．【环境保护】下图示意某段高速公路沿线土壤重金属含量空间分布及风向频率。</w:t>
      </w:r>
    </w:p>
    <w:p>
      <w:pPr>
        <w:pStyle w:val="21"/>
        <w:spacing w:after="200" w:line="276" w:lineRule="auto"/>
        <w:rPr>
          <w:rStyle w:val="10"/>
        </w:rPr>
      </w:pPr>
      <w:r>
        <w:rPr>
          <w:rStyle w:val="10"/>
        </w:rPr>
        <w:drawing>
          <wp:inline distT="0" distB="0" distL="0" distR="0">
            <wp:extent cx="4486275" cy="2240915"/>
            <wp:effectExtent l="0" t="0" r="0" b="6985"/>
            <wp:docPr id="8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88078" cy="224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 w:line="276" w:lineRule="auto"/>
        <w:rPr>
          <w:rStyle w:val="10"/>
          <w:rFonts w:hint="eastAsia"/>
        </w:rPr>
      </w:pPr>
      <w:r>
        <w:rPr>
          <w:rStyle w:val="10"/>
          <w:rFonts w:hint="eastAsia"/>
        </w:rPr>
        <w:t>概述该段公路沿线土壤重金属含量的空间分布特点并分析原因。</w:t>
      </w:r>
    </w:p>
    <w:p>
      <w:pPr>
        <w:pStyle w:val="21"/>
        <w:spacing w:before="100" w:after="100" w:line="600" w:lineRule="exact"/>
        <w:jc w:val="center"/>
        <w:rPr>
          <w:rStyle w:val="10"/>
          <w:rFonts w:hint="eastAsia" w:ascii="黑体" w:hAnsi="黑体" w:eastAsia="黑体"/>
          <w:sz w:val="36"/>
          <w:szCs w:val="36"/>
        </w:rPr>
      </w:pPr>
    </w:p>
    <w:p>
      <w:pPr>
        <w:pStyle w:val="21"/>
        <w:spacing w:before="100" w:after="100" w:line="600" w:lineRule="exact"/>
        <w:jc w:val="center"/>
        <w:rPr>
          <w:rStyle w:val="10"/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Style w:val="10"/>
          <w:rFonts w:hint="eastAsia" w:ascii="黑体" w:hAnsi="黑体" w:eastAsia="黑体"/>
          <w:sz w:val="36"/>
          <w:szCs w:val="36"/>
        </w:rPr>
        <w:t>高</w:t>
      </w:r>
      <w:r>
        <w:rPr>
          <w:rStyle w:val="10"/>
          <w:rFonts w:ascii="Times New Roman" w:hAnsi="Times New Roman" w:eastAsia="黑体" w:cs="Times New Roman"/>
          <w:sz w:val="36"/>
          <w:szCs w:val="36"/>
        </w:rPr>
        <w:t>2021</w:t>
      </w:r>
      <w:r>
        <w:rPr>
          <w:rStyle w:val="10"/>
          <w:rFonts w:hint="eastAsia" w:ascii="黑体" w:hAnsi="黑体" w:eastAsia="黑体"/>
          <w:sz w:val="36"/>
          <w:szCs w:val="36"/>
        </w:rPr>
        <w:t>级第五次月考地理参考答案</w:t>
      </w:r>
    </w:p>
    <w:p>
      <w:pPr>
        <w:pStyle w:val="21"/>
        <w:tabs>
          <w:tab w:val="left" w:pos="2410"/>
          <w:tab w:val="left" w:pos="5103"/>
        </w:tabs>
        <w:spacing w:after="200" w:line="400" w:lineRule="exact"/>
        <w:rPr>
          <w:rStyle w:val="10"/>
          <w:rFonts w:ascii="Times New Roman" w:hAnsi="Times New Roman" w:cs="Times New Roman"/>
          <w:color w:val="000000" w:themeColor="text1"/>
        </w:rPr>
      </w:pPr>
      <w:r>
        <w:rPr>
          <w:rStyle w:val="10"/>
          <w:rFonts w:ascii="Times New Roman" w:hAnsi="Times New Roman" w:cs="Times New Roman"/>
          <w:color w:val="000000" w:themeColor="text1"/>
        </w:rPr>
        <w:t>1—5：</w:t>
      </w:r>
      <w:r>
        <w:rPr>
          <w:rStyle w:val="10"/>
          <w:rFonts w:hint="eastAsia" w:ascii="Times New Roman" w:hAnsi="Times New Roman" w:cs="Times New Roman"/>
          <w:color w:val="000000" w:themeColor="text1"/>
        </w:rPr>
        <w:t>C</w:t>
      </w:r>
      <w:r>
        <w:rPr>
          <w:rStyle w:val="10"/>
          <w:rFonts w:ascii="Times New Roman" w:hAnsi="Times New Roman" w:cs="Times New Roman"/>
          <w:color w:val="000000" w:themeColor="text1"/>
        </w:rPr>
        <w:t>ACAB</w:t>
      </w:r>
      <w:r>
        <w:rPr>
          <w:rStyle w:val="10"/>
          <w:rFonts w:ascii="Times New Roman" w:hAnsi="Times New Roman" w:cs="Times New Roman"/>
          <w:color w:val="000000" w:themeColor="text1"/>
        </w:rPr>
        <w:tab/>
      </w:r>
      <w:r>
        <w:rPr>
          <w:rStyle w:val="10"/>
          <w:rFonts w:ascii="Times New Roman" w:hAnsi="Times New Roman" w:cs="Times New Roman"/>
          <w:color w:val="000000" w:themeColor="text1"/>
        </w:rPr>
        <w:t>6—10：ACACA</w:t>
      </w:r>
      <w:r>
        <w:rPr>
          <w:rStyle w:val="10"/>
          <w:rFonts w:ascii="Times New Roman" w:hAnsi="Times New Roman" w:cs="Times New Roman"/>
          <w:color w:val="000000" w:themeColor="text1"/>
        </w:rPr>
        <w:tab/>
      </w:r>
      <w:r>
        <w:rPr>
          <w:rStyle w:val="10"/>
          <w:rFonts w:ascii="Times New Roman" w:hAnsi="Times New Roman" w:cs="Times New Roman"/>
          <w:color w:val="000000" w:themeColor="text1"/>
        </w:rPr>
        <w:t>11—15：</w:t>
      </w:r>
      <w:r>
        <w:rPr>
          <w:rStyle w:val="10"/>
          <w:rFonts w:hint="eastAsia" w:ascii="Times New Roman" w:hAnsi="Times New Roman" w:cs="Times New Roman"/>
          <w:color w:val="000000" w:themeColor="text1"/>
        </w:rPr>
        <w:t>B</w:t>
      </w:r>
      <w:r>
        <w:rPr>
          <w:rStyle w:val="10"/>
          <w:rFonts w:ascii="Times New Roman" w:hAnsi="Times New Roman" w:cs="Times New Roman"/>
          <w:color w:val="000000" w:themeColor="text1"/>
        </w:rPr>
        <w:t>BCDD</w:t>
      </w:r>
    </w:p>
    <w:p>
      <w:pPr>
        <w:pStyle w:val="22"/>
        <w:tabs>
          <w:tab w:val="left" w:pos="567"/>
          <w:tab w:val="left" w:pos="2552"/>
          <w:tab w:val="left" w:pos="4748"/>
          <w:tab w:val="left" w:pos="6521"/>
        </w:tabs>
        <w:adjustRightInd w:val="0"/>
        <w:snapToGrid w:val="0"/>
        <w:spacing w:after="200" w:line="400" w:lineRule="exact"/>
        <w:jc w:val="left"/>
        <w:textAlignment w:val="baseline"/>
        <w:rPr>
          <w:rStyle w:val="10"/>
          <w:rFonts w:ascii="宋体" w:hAnsi="宋体" w:eastAsia="宋体"/>
          <w:color w:val="000000" w:themeColor="text1"/>
          <w:kern w:val="0"/>
          <w:sz w:val="21"/>
          <w:szCs w:val="21"/>
        </w:rPr>
      </w:pPr>
      <w:r>
        <w:rPr>
          <w:rStyle w:val="10"/>
          <w:rFonts w:hint="eastAsia" w:eastAsia="宋体"/>
          <w:color w:val="000000" w:themeColor="text1"/>
          <w:sz w:val="21"/>
          <w:szCs w:val="21"/>
        </w:rPr>
        <w:t>1</w:t>
      </w:r>
      <w:r>
        <w:rPr>
          <w:rStyle w:val="10"/>
          <w:rFonts w:eastAsia="宋体"/>
          <w:color w:val="000000" w:themeColor="text1"/>
          <w:sz w:val="21"/>
          <w:szCs w:val="21"/>
        </w:rPr>
        <w:t>6</w:t>
      </w:r>
      <w:r>
        <w:rPr>
          <w:rStyle w:val="10"/>
          <w:rFonts w:ascii="宋体" w:hAnsi="宋体" w:eastAsia="宋体"/>
          <w:color w:val="000000" w:themeColor="text1"/>
          <w:kern w:val="0"/>
          <w:sz w:val="21"/>
          <w:szCs w:val="21"/>
        </w:rPr>
        <w:t>．</w:t>
      </w:r>
      <w:r>
        <w:rPr>
          <w:rStyle w:val="10"/>
          <w:rFonts w:hint="eastAsia" w:ascii="宋体" w:hAnsi="宋体" w:eastAsia="宋体"/>
          <w:color w:val="000000" w:themeColor="text1"/>
          <w:kern w:val="0"/>
          <w:sz w:val="21"/>
          <w:szCs w:val="21"/>
        </w:rPr>
        <w:t>（1</w:t>
      </w:r>
      <w:r>
        <w:rPr>
          <w:rStyle w:val="10"/>
          <w:rFonts w:ascii="宋体" w:hAnsi="宋体" w:eastAsia="宋体"/>
          <w:color w:val="000000" w:themeColor="text1"/>
          <w:kern w:val="0"/>
          <w:sz w:val="21"/>
          <w:szCs w:val="21"/>
        </w:rPr>
        <w:t>4</w:t>
      </w:r>
      <w:r>
        <w:rPr>
          <w:rStyle w:val="10"/>
          <w:rFonts w:hint="eastAsia" w:ascii="宋体" w:hAnsi="宋体" w:eastAsia="宋体"/>
          <w:color w:val="000000" w:themeColor="text1"/>
          <w:kern w:val="0"/>
          <w:sz w:val="21"/>
          <w:szCs w:val="21"/>
        </w:rPr>
        <w:t>分）</w:t>
      </w:r>
    </w:p>
    <w:p>
      <w:pPr>
        <w:pStyle w:val="22"/>
        <w:numPr>
          <w:ilvl w:val="0"/>
          <w:numId w:val="1"/>
        </w:numPr>
        <w:tabs>
          <w:tab w:val="left" w:pos="567"/>
          <w:tab w:val="left" w:pos="2552"/>
          <w:tab w:val="left" w:pos="4748"/>
          <w:tab w:val="left" w:pos="6521"/>
        </w:tabs>
        <w:adjustRightInd w:val="0"/>
        <w:snapToGrid w:val="0"/>
        <w:spacing w:after="200" w:line="400" w:lineRule="exact"/>
        <w:textAlignment w:val="baseline"/>
        <w:rPr>
          <w:rStyle w:val="10"/>
          <w:rFonts w:eastAsia="宋体"/>
          <w:color w:val="000000" w:themeColor="text1"/>
          <w:sz w:val="21"/>
          <w:szCs w:val="21"/>
        </w:rPr>
      </w:pPr>
      <w:r>
        <w:rPr>
          <w:rStyle w:val="10"/>
          <w:rFonts w:eastAsia="宋体"/>
          <w:color w:val="000000" w:themeColor="text1"/>
          <w:sz w:val="21"/>
          <w:szCs w:val="21"/>
        </w:rPr>
        <w:t xml:space="preserve">华北春旱，为葡萄生长提供水分；降低土壤盐分。(每点 2 分，共 4 分） </w:t>
      </w:r>
    </w:p>
    <w:p>
      <w:pPr>
        <w:pStyle w:val="22"/>
        <w:numPr>
          <w:ilvl w:val="0"/>
          <w:numId w:val="1"/>
        </w:numPr>
        <w:tabs>
          <w:tab w:val="left" w:pos="567"/>
          <w:tab w:val="left" w:pos="2552"/>
          <w:tab w:val="left" w:pos="4748"/>
          <w:tab w:val="left" w:pos="6521"/>
        </w:tabs>
        <w:adjustRightInd w:val="0"/>
        <w:snapToGrid w:val="0"/>
        <w:spacing w:after="200" w:line="400" w:lineRule="exact"/>
        <w:textAlignment w:val="baseline"/>
        <w:rPr>
          <w:rStyle w:val="10"/>
          <w:rFonts w:eastAsia="宋体"/>
          <w:color w:val="000000" w:themeColor="text1"/>
          <w:sz w:val="21"/>
          <w:szCs w:val="21"/>
        </w:rPr>
      </w:pPr>
      <w:r>
        <w:rPr>
          <w:rStyle w:val="10"/>
          <w:rFonts w:eastAsia="宋体"/>
          <w:color w:val="000000" w:themeColor="text1"/>
          <w:sz w:val="21"/>
          <w:szCs w:val="21"/>
        </w:rPr>
        <w:t xml:space="preserve">提高地温，提早葡萄生长物候期（提早解除冬眠，延长生长期）（2分）；减少水分蒸发（2 分）；抑制土壤返盐（2 分）（共6 分） </w:t>
      </w:r>
    </w:p>
    <w:p>
      <w:pPr>
        <w:pStyle w:val="22"/>
        <w:numPr>
          <w:ilvl w:val="0"/>
          <w:numId w:val="1"/>
        </w:numPr>
        <w:tabs>
          <w:tab w:val="left" w:pos="567"/>
          <w:tab w:val="left" w:pos="2552"/>
          <w:tab w:val="left" w:pos="4748"/>
          <w:tab w:val="left" w:pos="6521"/>
        </w:tabs>
        <w:adjustRightInd w:val="0"/>
        <w:snapToGrid w:val="0"/>
        <w:spacing w:after="200" w:line="400" w:lineRule="exact"/>
        <w:textAlignment w:val="baseline"/>
        <w:rPr>
          <w:rStyle w:val="10"/>
          <w:rFonts w:eastAsia="宋体"/>
          <w:color w:val="000000" w:themeColor="text1"/>
          <w:sz w:val="21"/>
          <w:szCs w:val="21"/>
        </w:rPr>
      </w:pPr>
      <w:r>
        <w:rPr>
          <w:rStyle w:val="10"/>
          <w:rFonts w:eastAsia="宋体"/>
          <w:color w:val="000000" w:themeColor="text1"/>
          <w:sz w:val="21"/>
          <w:szCs w:val="21"/>
        </w:rPr>
        <w:t xml:space="preserve">塑料薄膜滞留在土壤中会造成环境污染；气温和地温逐渐升高，能够满足葡萄生长的需要。（每点 2 分，共 4 分） </w:t>
      </w:r>
    </w:p>
    <w:p>
      <w:pPr>
        <w:pStyle w:val="22"/>
        <w:tabs>
          <w:tab w:val="left" w:pos="567"/>
          <w:tab w:val="left" w:pos="2552"/>
          <w:tab w:val="left" w:pos="4748"/>
          <w:tab w:val="left" w:pos="6521"/>
        </w:tabs>
        <w:adjustRightInd w:val="0"/>
        <w:snapToGrid w:val="0"/>
        <w:spacing w:after="200" w:line="400" w:lineRule="exact"/>
        <w:textAlignment w:val="baseline"/>
        <w:rPr>
          <w:rStyle w:val="10"/>
          <w:rFonts w:eastAsia="宋体"/>
          <w:color w:val="000000" w:themeColor="text1"/>
          <w:sz w:val="21"/>
          <w:szCs w:val="21"/>
        </w:rPr>
      </w:pPr>
      <w:r>
        <w:rPr>
          <w:rStyle w:val="10"/>
          <w:rFonts w:eastAsia="宋体"/>
          <w:color w:val="000000" w:themeColor="text1"/>
          <w:kern w:val="0"/>
          <w:sz w:val="21"/>
          <w:szCs w:val="21"/>
        </w:rPr>
        <w:t>17</w:t>
      </w:r>
      <w:r>
        <w:rPr>
          <w:rStyle w:val="10"/>
          <w:rFonts w:ascii="宋体" w:hAnsi="宋体" w:eastAsia="宋体"/>
          <w:color w:val="000000" w:themeColor="text1"/>
          <w:kern w:val="0"/>
          <w:sz w:val="21"/>
          <w:szCs w:val="21"/>
        </w:rPr>
        <w:t>．</w:t>
      </w:r>
      <w:r>
        <w:rPr>
          <w:rStyle w:val="10"/>
          <w:rFonts w:eastAsia="宋体"/>
          <w:color w:val="000000" w:themeColor="text1"/>
          <w:sz w:val="21"/>
          <w:szCs w:val="21"/>
        </w:rPr>
        <w:t xml:space="preserve">（17分） </w:t>
      </w:r>
    </w:p>
    <w:p>
      <w:pPr>
        <w:pStyle w:val="22"/>
        <w:numPr>
          <w:ilvl w:val="0"/>
          <w:numId w:val="2"/>
        </w:numPr>
        <w:tabs>
          <w:tab w:val="left" w:pos="567"/>
          <w:tab w:val="left" w:pos="2552"/>
          <w:tab w:val="left" w:pos="4748"/>
          <w:tab w:val="left" w:pos="6521"/>
        </w:tabs>
        <w:adjustRightInd w:val="0"/>
        <w:snapToGrid w:val="0"/>
        <w:spacing w:after="200" w:line="400" w:lineRule="exact"/>
        <w:textAlignment w:val="baseline"/>
        <w:rPr>
          <w:rStyle w:val="10"/>
          <w:rFonts w:eastAsia="宋体"/>
          <w:color w:val="000000" w:themeColor="text1"/>
          <w:sz w:val="21"/>
          <w:szCs w:val="21"/>
        </w:rPr>
      </w:pPr>
      <w:r>
        <w:rPr>
          <w:rStyle w:val="10"/>
          <w:rFonts w:eastAsia="宋体"/>
          <w:color w:val="000000" w:themeColor="text1"/>
          <w:sz w:val="21"/>
          <w:szCs w:val="21"/>
        </w:rPr>
        <w:t xml:space="preserve">林带内部 a 处地表植被覆盖，枯枝落叶多，延阻径流，下渗增加；林内土壤结构改善， </w:t>
      </w:r>
      <w:r>
        <w:rPr>
          <w:rStyle w:val="10"/>
          <w:rFonts w:hint="eastAsia" w:eastAsia="宋体"/>
          <w:color w:val="000000" w:themeColor="text1"/>
          <w:sz w:val="21"/>
          <w:szCs w:val="21"/>
        </w:rPr>
        <w:t>下渗增加；林内光照弱，蒸发量小。（共</w:t>
      </w:r>
      <w:r>
        <w:rPr>
          <w:rStyle w:val="10"/>
          <w:rFonts w:eastAsia="宋体"/>
          <w:color w:val="000000" w:themeColor="text1"/>
          <w:sz w:val="21"/>
          <w:szCs w:val="21"/>
        </w:rPr>
        <w:t xml:space="preserve"> 6 分） </w:t>
      </w:r>
    </w:p>
    <w:p>
      <w:pPr>
        <w:pStyle w:val="22"/>
        <w:numPr>
          <w:ilvl w:val="0"/>
          <w:numId w:val="2"/>
        </w:numPr>
        <w:tabs>
          <w:tab w:val="left" w:pos="567"/>
          <w:tab w:val="left" w:pos="2552"/>
          <w:tab w:val="left" w:pos="4748"/>
          <w:tab w:val="left" w:pos="6521"/>
        </w:tabs>
        <w:adjustRightInd w:val="0"/>
        <w:snapToGrid w:val="0"/>
        <w:spacing w:after="200" w:line="400" w:lineRule="exact"/>
        <w:textAlignment w:val="baseline"/>
        <w:rPr>
          <w:rStyle w:val="10"/>
          <w:rFonts w:eastAsia="宋体"/>
          <w:color w:val="000000" w:themeColor="text1"/>
          <w:sz w:val="21"/>
          <w:szCs w:val="21"/>
        </w:rPr>
      </w:pPr>
      <w:r>
        <w:rPr>
          <w:rStyle w:val="10"/>
          <w:rFonts w:eastAsia="宋体"/>
          <w:color w:val="000000" w:themeColor="text1"/>
          <w:sz w:val="21"/>
          <w:szCs w:val="21"/>
        </w:rPr>
        <w:t>顺坡林带坡向朝向正西；由于林带遮荫，使林带内</w:t>
      </w:r>
      <w:r>
        <w:rPr>
          <w:rStyle w:val="10"/>
          <w:rFonts w:hint="eastAsia" w:eastAsia="宋体"/>
          <w:color w:val="000000" w:themeColor="text1"/>
          <w:sz w:val="21"/>
          <w:szCs w:val="21"/>
        </w:rPr>
        <w:t>北</w:t>
      </w:r>
      <w:r>
        <w:rPr>
          <w:rStyle w:val="10"/>
          <w:rFonts w:eastAsia="宋体"/>
          <w:color w:val="000000" w:themeColor="text1"/>
          <w:sz w:val="21"/>
          <w:szCs w:val="21"/>
        </w:rPr>
        <w:t xml:space="preserve">侧部分地面很少照到阳光；土壤 </w:t>
      </w:r>
      <w:r>
        <w:rPr>
          <w:rStyle w:val="10"/>
          <w:rFonts w:hint="eastAsia" w:eastAsia="宋体"/>
          <w:color w:val="000000" w:themeColor="text1"/>
          <w:sz w:val="21"/>
          <w:szCs w:val="21"/>
        </w:rPr>
        <w:t>水分蒸发少。（共</w:t>
      </w:r>
      <w:r>
        <w:rPr>
          <w:rStyle w:val="10"/>
          <w:rFonts w:eastAsia="宋体"/>
          <w:color w:val="000000" w:themeColor="text1"/>
          <w:sz w:val="21"/>
          <w:szCs w:val="21"/>
        </w:rPr>
        <w:t xml:space="preserve"> 6 分） </w:t>
      </w:r>
    </w:p>
    <w:p>
      <w:pPr>
        <w:pStyle w:val="22"/>
        <w:numPr>
          <w:ilvl w:val="0"/>
          <w:numId w:val="2"/>
        </w:numPr>
        <w:tabs>
          <w:tab w:val="left" w:pos="567"/>
          <w:tab w:val="left" w:pos="2552"/>
          <w:tab w:val="left" w:pos="4748"/>
          <w:tab w:val="left" w:pos="6521"/>
        </w:tabs>
        <w:adjustRightInd w:val="0"/>
        <w:snapToGrid w:val="0"/>
        <w:spacing w:after="200" w:line="400" w:lineRule="exact"/>
        <w:textAlignment w:val="baseline"/>
        <w:rPr>
          <w:rStyle w:val="10"/>
          <w:rFonts w:eastAsia="宋体"/>
          <w:color w:val="000000" w:themeColor="text1"/>
          <w:sz w:val="21"/>
          <w:szCs w:val="21"/>
        </w:rPr>
      </w:pPr>
      <w:r>
        <w:rPr>
          <w:rStyle w:val="10"/>
          <w:rFonts w:eastAsia="宋体"/>
          <w:color w:val="000000" w:themeColor="text1"/>
          <w:sz w:val="21"/>
          <w:szCs w:val="21"/>
        </w:rPr>
        <w:t xml:space="preserve">林带植被蒸腾量较大；林带结构复杂，对降水的截留明显，在降雨停止后消耗于蒸发， </w:t>
      </w:r>
      <w:r>
        <w:rPr>
          <w:rStyle w:val="10"/>
          <w:rFonts w:hint="eastAsia" w:eastAsia="宋体"/>
          <w:color w:val="000000" w:themeColor="text1"/>
          <w:sz w:val="21"/>
          <w:szCs w:val="21"/>
        </w:rPr>
        <w:t>减小了补给林带土壤的水分；两侧地区蒸发蒸腾较弱。（共</w:t>
      </w:r>
      <w:r>
        <w:rPr>
          <w:rStyle w:val="10"/>
          <w:rFonts w:eastAsia="宋体"/>
          <w:color w:val="000000" w:themeColor="text1"/>
          <w:sz w:val="21"/>
          <w:szCs w:val="21"/>
        </w:rPr>
        <w:t xml:space="preserve"> 5 分） </w:t>
      </w:r>
    </w:p>
    <w:p>
      <w:pPr>
        <w:pStyle w:val="22"/>
        <w:adjustRightInd w:val="0"/>
        <w:snapToGrid w:val="0"/>
        <w:spacing w:after="200" w:line="400" w:lineRule="exact"/>
        <w:jc w:val="left"/>
        <w:textAlignment w:val="baseline"/>
        <w:rPr>
          <w:rStyle w:val="10"/>
          <w:rFonts w:ascii="宋体" w:hAnsi="宋体" w:eastAsia="宋体"/>
          <w:color w:val="000000" w:themeColor="text1"/>
          <w:kern w:val="0"/>
          <w:sz w:val="21"/>
          <w:szCs w:val="21"/>
        </w:rPr>
      </w:pPr>
      <w:r>
        <w:rPr>
          <w:rStyle w:val="10"/>
          <w:rFonts w:eastAsia="宋体"/>
          <w:color w:val="000000" w:themeColor="text1"/>
          <w:kern w:val="0"/>
          <w:sz w:val="21"/>
          <w:szCs w:val="21"/>
        </w:rPr>
        <w:t>18</w:t>
      </w:r>
      <w:r>
        <w:rPr>
          <w:rStyle w:val="10"/>
          <w:rFonts w:ascii="宋体" w:hAnsi="宋体" w:eastAsia="宋体"/>
          <w:color w:val="000000" w:themeColor="text1"/>
          <w:kern w:val="0"/>
          <w:sz w:val="21"/>
          <w:szCs w:val="21"/>
        </w:rPr>
        <w:t>．</w:t>
      </w:r>
      <w:r>
        <w:rPr>
          <w:rStyle w:val="10"/>
          <w:rFonts w:hint="eastAsia" w:ascii="宋体" w:hAnsi="宋体" w:eastAsia="宋体"/>
          <w:color w:val="000000" w:themeColor="text1"/>
          <w:kern w:val="0"/>
          <w:sz w:val="21"/>
          <w:szCs w:val="21"/>
        </w:rPr>
        <w:t>（1</w:t>
      </w:r>
      <w:r>
        <w:rPr>
          <w:rStyle w:val="10"/>
          <w:rFonts w:ascii="宋体" w:hAnsi="宋体" w:eastAsia="宋体"/>
          <w:color w:val="000000" w:themeColor="text1"/>
          <w:kern w:val="0"/>
          <w:sz w:val="21"/>
          <w:szCs w:val="21"/>
        </w:rPr>
        <w:t>6</w:t>
      </w:r>
      <w:r>
        <w:rPr>
          <w:rStyle w:val="10"/>
          <w:rFonts w:hint="eastAsia" w:ascii="宋体" w:hAnsi="宋体" w:eastAsia="宋体"/>
          <w:color w:val="000000" w:themeColor="text1"/>
          <w:kern w:val="0"/>
          <w:sz w:val="21"/>
          <w:szCs w:val="21"/>
        </w:rPr>
        <w:t>分）</w:t>
      </w:r>
    </w:p>
    <w:p>
      <w:pPr>
        <w:pStyle w:val="22"/>
        <w:numPr>
          <w:ilvl w:val="0"/>
          <w:numId w:val="3"/>
        </w:numPr>
        <w:tabs>
          <w:tab w:val="left" w:pos="567"/>
          <w:tab w:val="left" w:pos="2552"/>
          <w:tab w:val="left" w:pos="4748"/>
          <w:tab w:val="left" w:pos="6521"/>
        </w:tabs>
        <w:adjustRightInd w:val="0"/>
        <w:snapToGrid w:val="0"/>
        <w:spacing w:after="200" w:line="400" w:lineRule="exact"/>
        <w:textAlignment w:val="baseline"/>
        <w:rPr>
          <w:rStyle w:val="10"/>
          <w:rFonts w:eastAsia="宋体"/>
          <w:color w:val="000000" w:themeColor="text1"/>
          <w:sz w:val="21"/>
          <w:szCs w:val="21"/>
        </w:rPr>
      </w:pPr>
      <w:r>
        <w:rPr>
          <w:rStyle w:val="10"/>
          <w:rFonts w:hint="eastAsia" w:eastAsia="宋体"/>
          <w:color w:val="000000" w:themeColor="text1"/>
          <w:sz w:val="21"/>
          <w:szCs w:val="21"/>
        </w:rPr>
        <w:t>海岸线漫长，由优良的港口，交通便利；由全国重要的经济中心，经济活跃；国家大力支持工业园区建设，政策优势明显；越南属于发展中国家，劳动力价格廉价，土地租金比较低。（任意</w:t>
      </w:r>
      <w:r>
        <w:rPr>
          <w:rStyle w:val="10"/>
          <w:rFonts w:eastAsia="宋体"/>
          <w:color w:val="000000" w:themeColor="text1"/>
          <w:sz w:val="21"/>
          <w:szCs w:val="21"/>
        </w:rPr>
        <w:t>2</w:t>
      </w:r>
      <w:r>
        <w:rPr>
          <w:rStyle w:val="10"/>
          <w:rFonts w:hint="eastAsia" w:eastAsia="宋体"/>
          <w:color w:val="000000" w:themeColor="text1"/>
          <w:sz w:val="21"/>
          <w:szCs w:val="21"/>
        </w:rPr>
        <w:t>点</w:t>
      </w:r>
      <w:r>
        <w:rPr>
          <w:rStyle w:val="10"/>
          <w:rFonts w:eastAsia="宋体"/>
          <w:color w:val="000000" w:themeColor="text1"/>
          <w:sz w:val="21"/>
          <w:szCs w:val="21"/>
        </w:rPr>
        <w:t>4</w:t>
      </w:r>
      <w:r>
        <w:rPr>
          <w:rStyle w:val="10"/>
          <w:rFonts w:hint="eastAsia" w:eastAsia="宋体"/>
          <w:color w:val="000000" w:themeColor="text1"/>
          <w:sz w:val="21"/>
          <w:szCs w:val="21"/>
        </w:rPr>
        <w:t>分）</w:t>
      </w:r>
    </w:p>
    <w:p>
      <w:pPr>
        <w:pStyle w:val="22"/>
        <w:numPr>
          <w:ilvl w:val="0"/>
          <w:numId w:val="3"/>
        </w:numPr>
        <w:tabs>
          <w:tab w:val="left" w:pos="567"/>
          <w:tab w:val="left" w:pos="2552"/>
          <w:tab w:val="left" w:pos="4748"/>
          <w:tab w:val="left" w:pos="6521"/>
        </w:tabs>
        <w:adjustRightInd w:val="0"/>
        <w:snapToGrid w:val="0"/>
        <w:spacing w:after="200" w:line="400" w:lineRule="exact"/>
        <w:textAlignment w:val="baseline"/>
        <w:rPr>
          <w:rStyle w:val="10"/>
          <w:rFonts w:eastAsia="宋体"/>
          <w:color w:val="000000" w:themeColor="text1"/>
          <w:sz w:val="21"/>
          <w:szCs w:val="21"/>
        </w:rPr>
      </w:pPr>
      <w:r>
        <w:rPr>
          <w:rStyle w:val="10"/>
          <w:rFonts w:hint="eastAsia" w:eastAsia="宋体"/>
          <w:color w:val="000000" w:themeColor="text1"/>
          <w:sz w:val="21"/>
          <w:szCs w:val="21"/>
        </w:rPr>
        <w:t>有利影响：吸引外资，引进先进的技术和经验，促进产业结构优化和升级；提供更多的就业岗位，利于社会稳定；激活区域生产要素，增加地方财政收入。</w:t>
      </w:r>
    </w:p>
    <w:p>
      <w:pPr>
        <w:pStyle w:val="22"/>
        <w:tabs>
          <w:tab w:val="left" w:pos="567"/>
          <w:tab w:val="left" w:pos="2552"/>
          <w:tab w:val="left" w:pos="4748"/>
          <w:tab w:val="left" w:pos="6521"/>
        </w:tabs>
        <w:adjustRightInd w:val="0"/>
        <w:snapToGrid w:val="0"/>
        <w:spacing w:after="200" w:line="400" w:lineRule="exact"/>
        <w:ind w:left="846"/>
        <w:textAlignment w:val="baseline"/>
        <w:rPr>
          <w:rStyle w:val="10"/>
          <w:rFonts w:eastAsia="宋体"/>
          <w:color w:val="000000" w:themeColor="text1"/>
          <w:sz w:val="21"/>
          <w:szCs w:val="21"/>
        </w:rPr>
      </w:pPr>
      <w:r>
        <w:rPr>
          <w:rStyle w:val="10"/>
          <w:rFonts w:hint="eastAsia" w:eastAsia="宋体"/>
          <w:color w:val="000000" w:themeColor="text1"/>
          <w:sz w:val="21"/>
          <w:szCs w:val="21"/>
        </w:rPr>
        <w:t>不利影响：对某些行业和市场的垄断，可能会造成大量的民族品牌的消失；以资源消耗型产业为主，可能会加快区域资源的消耗；多为高污染产业，可能会加快生态环境恶化，家中污染</w:t>
      </w:r>
    </w:p>
    <w:p>
      <w:pPr>
        <w:pStyle w:val="22"/>
        <w:numPr>
          <w:ilvl w:val="0"/>
          <w:numId w:val="3"/>
        </w:numPr>
        <w:tabs>
          <w:tab w:val="left" w:pos="567"/>
          <w:tab w:val="left" w:pos="2552"/>
          <w:tab w:val="left" w:pos="4748"/>
          <w:tab w:val="left" w:pos="6521"/>
        </w:tabs>
        <w:adjustRightInd w:val="0"/>
        <w:snapToGrid w:val="0"/>
        <w:spacing w:after="200" w:line="400" w:lineRule="exact"/>
        <w:textAlignment w:val="baseline"/>
        <w:rPr>
          <w:rStyle w:val="10"/>
          <w:rFonts w:eastAsia="宋体"/>
          <w:color w:val="000000" w:themeColor="text1"/>
          <w:sz w:val="21"/>
          <w:szCs w:val="21"/>
        </w:rPr>
      </w:pPr>
      <w:r>
        <w:rPr>
          <w:rStyle w:val="10"/>
          <w:rFonts w:hint="eastAsia" w:eastAsia="宋体"/>
          <w:color w:val="000000" w:themeColor="text1"/>
          <w:sz w:val="21"/>
          <w:szCs w:val="21"/>
        </w:rPr>
        <w:t>加快基础设施的建设，提升服务水平；加强劳动力技能的培训；引进高科技产业；侧重产品多样化发展，降低经济发展风险。</w:t>
      </w:r>
    </w:p>
    <w:p>
      <w:pPr>
        <w:pStyle w:val="21"/>
        <w:spacing w:after="200" w:line="400" w:lineRule="exact"/>
        <w:rPr>
          <w:rStyle w:val="10"/>
          <w:rFonts w:ascii="宋体" w:hAnsi="宋体" w:eastAsia="宋体"/>
          <w:color w:val="000000" w:themeColor="text1"/>
          <w:kern w:val="0"/>
          <w:szCs w:val="21"/>
        </w:rPr>
      </w:pPr>
      <w:r>
        <w:rPr>
          <w:rStyle w:val="10"/>
          <w:rFonts w:hint="eastAsia" w:ascii="Times New Roman" w:hAnsi="Times New Roman" w:cs="Times New Roman"/>
          <w:color w:val="000000" w:themeColor="text1"/>
        </w:rPr>
        <w:t>1</w:t>
      </w:r>
      <w:r>
        <w:rPr>
          <w:rStyle w:val="10"/>
          <w:rFonts w:ascii="Times New Roman" w:hAnsi="Times New Roman" w:cs="Times New Roman"/>
          <w:color w:val="000000" w:themeColor="text1"/>
        </w:rPr>
        <w:t>9</w:t>
      </w:r>
      <w:r>
        <w:rPr>
          <w:rStyle w:val="10"/>
          <w:rFonts w:ascii="宋体" w:hAnsi="宋体" w:eastAsia="宋体"/>
          <w:color w:val="000000" w:themeColor="text1"/>
          <w:kern w:val="0"/>
          <w:szCs w:val="21"/>
        </w:rPr>
        <w:t>．</w:t>
      </w:r>
      <w:r>
        <w:rPr>
          <w:rStyle w:val="10"/>
          <w:rFonts w:hint="eastAsia" w:ascii="宋体" w:hAnsi="宋体" w:eastAsia="宋体"/>
          <w:color w:val="000000" w:themeColor="text1"/>
          <w:kern w:val="0"/>
          <w:szCs w:val="21"/>
        </w:rPr>
        <w:t>（8分）</w:t>
      </w:r>
    </w:p>
    <w:p>
      <w:pPr>
        <w:pStyle w:val="22"/>
        <w:numPr>
          <w:ilvl w:val="0"/>
          <w:numId w:val="4"/>
        </w:numPr>
        <w:tabs>
          <w:tab w:val="left" w:pos="567"/>
          <w:tab w:val="left" w:pos="2552"/>
          <w:tab w:val="left" w:pos="4748"/>
          <w:tab w:val="left" w:pos="6521"/>
        </w:tabs>
        <w:adjustRightInd w:val="0"/>
        <w:snapToGrid w:val="0"/>
        <w:spacing w:after="200" w:line="400" w:lineRule="exact"/>
        <w:textAlignment w:val="baseline"/>
        <w:rPr>
          <w:rStyle w:val="10"/>
          <w:color w:val="000000" w:themeColor="text1"/>
          <w:sz w:val="21"/>
          <w:szCs w:val="21"/>
        </w:rPr>
      </w:pPr>
      <w:r>
        <w:rPr>
          <w:rStyle w:val="10"/>
          <w:color w:val="000000" w:themeColor="text1"/>
          <w:sz w:val="21"/>
          <w:szCs w:val="21"/>
        </w:rPr>
        <w:t>井冈山</w:t>
      </w:r>
      <w:r>
        <w:rPr>
          <w:rStyle w:val="10"/>
          <w:rFonts w:eastAsia="宋体"/>
          <w:color w:val="000000" w:themeColor="text1"/>
          <w:sz w:val="21"/>
          <w:szCs w:val="21"/>
        </w:rPr>
        <w:t>地处</w:t>
      </w:r>
      <w:r>
        <w:rPr>
          <w:rStyle w:val="10"/>
          <w:color w:val="000000" w:themeColor="text1"/>
          <w:sz w:val="21"/>
          <w:szCs w:val="21"/>
        </w:rPr>
        <w:t>江西省，为季风气候区，植被茂密，气候适宜，自然资源条件较好，生态环境优越；与革命根据地结合，增强红色旅游吸引力。</w:t>
      </w:r>
    </w:p>
    <w:p>
      <w:pPr>
        <w:pStyle w:val="22"/>
        <w:numPr>
          <w:ilvl w:val="0"/>
          <w:numId w:val="4"/>
        </w:numPr>
        <w:tabs>
          <w:tab w:val="left" w:pos="567"/>
          <w:tab w:val="left" w:pos="2552"/>
          <w:tab w:val="left" w:pos="4748"/>
          <w:tab w:val="left" w:pos="6521"/>
        </w:tabs>
        <w:adjustRightInd w:val="0"/>
        <w:snapToGrid w:val="0"/>
        <w:spacing w:after="200" w:line="400" w:lineRule="exact"/>
        <w:textAlignment w:val="baseline"/>
        <w:rPr>
          <w:rStyle w:val="10"/>
          <w:color w:val="000000" w:themeColor="text1"/>
          <w:sz w:val="21"/>
          <w:szCs w:val="21"/>
        </w:rPr>
      </w:pPr>
      <w:r>
        <w:rPr>
          <w:rStyle w:val="10"/>
          <w:color w:val="000000" w:themeColor="text1"/>
          <w:sz w:val="21"/>
          <w:szCs w:val="21"/>
        </w:rPr>
        <w:t>发展</w:t>
      </w:r>
      <w:r>
        <w:rPr>
          <w:rStyle w:val="10"/>
          <w:rFonts w:eastAsia="宋体"/>
          <w:color w:val="000000" w:themeColor="text1"/>
          <w:sz w:val="21"/>
          <w:szCs w:val="21"/>
        </w:rPr>
        <w:t>红色</w:t>
      </w:r>
      <w:r>
        <w:rPr>
          <w:rStyle w:val="10"/>
          <w:color w:val="000000" w:themeColor="text1"/>
          <w:sz w:val="21"/>
          <w:szCs w:val="21"/>
        </w:rPr>
        <w:t>研学，增强旅游体验；加强科技投入，表现手法科技化；开展互动体验较强的文创，增加趣味性与参与度；开发户外拓展活动，模拟革命战役；搭建军事科技娱乐、国防教育、军事科普等体验场景。（任答3点，其他答案合理酌情给分）</w:t>
      </w:r>
    </w:p>
    <w:p>
      <w:pPr>
        <w:pStyle w:val="21"/>
        <w:spacing w:after="200" w:line="400" w:lineRule="exact"/>
        <w:jc w:val="left"/>
        <w:textAlignment w:val="center"/>
        <w:rPr>
          <w:rStyle w:val="10"/>
          <w:rFonts w:ascii="宋体" w:hAnsi="宋体" w:eastAsia="宋体" w:cs="宋体"/>
          <w:color w:val="000000" w:themeColor="text1"/>
          <w:szCs w:val="21"/>
        </w:rPr>
      </w:pPr>
      <w:r>
        <w:rPr>
          <w:rStyle w:val="10"/>
          <w:rFonts w:ascii="Times New Roman" w:hAnsi="Times New Roman" w:eastAsia="宋体" w:cs="Times New Roman"/>
          <w:color w:val="000000" w:themeColor="text1"/>
          <w:szCs w:val="21"/>
        </w:rPr>
        <w:t>20</w:t>
      </w:r>
      <w:r>
        <w:rPr>
          <w:rStyle w:val="10"/>
          <w:rFonts w:ascii="Times New Roman" w:hAnsi="Times New Roman" w:eastAsia="宋体" w:cs="Times New Roman"/>
          <w:color w:val="000000" w:themeColor="text1"/>
          <w:kern w:val="0"/>
          <w:szCs w:val="21"/>
        </w:rPr>
        <w:t>．</w:t>
      </w:r>
      <w:r>
        <w:rPr>
          <w:rStyle w:val="10"/>
          <w:rFonts w:ascii="宋体" w:hAnsi="宋体" w:eastAsia="宋体" w:cs="宋体"/>
          <w:color w:val="000000" w:themeColor="text1"/>
          <w:szCs w:val="21"/>
        </w:rPr>
        <w:t>特点：距离公路越远，含量越低；公路东侧含量高于西侧。</w:t>
      </w:r>
    </w:p>
    <w:p>
      <w:pPr>
        <w:pStyle w:val="21"/>
        <w:spacing w:after="200" w:line="400" w:lineRule="exact"/>
        <w:ind w:left="1049" w:hanging="624"/>
        <w:jc w:val="left"/>
        <w:textAlignment w:val="center"/>
        <w:rPr>
          <w:rStyle w:val="10"/>
          <w:rFonts w:ascii="宋体" w:hAnsi="宋体" w:eastAsia="宋体" w:cs="宋体"/>
          <w:color w:val="000000" w:themeColor="text1"/>
          <w:szCs w:val="21"/>
        </w:rPr>
      </w:pPr>
      <w:r>
        <w:rPr>
          <w:rStyle w:val="10"/>
          <w:rFonts w:hint="eastAsia" w:ascii="宋体" w:hAnsi="宋体" w:eastAsia="宋体" w:cs="宋体"/>
          <w:color w:val="000000" w:themeColor="text1"/>
          <w:szCs w:val="21"/>
        </w:rPr>
        <w:t>原因：公路沿线土壤重金属主要来自汽车尾气；距公路越近，接受的尾气越多；东侧位于盛行西风</w:t>
      </w:r>
      <w:r>
        <w:rPr>
          <w:rStyle w:val="10"/>
          <w:rFonts w:ascii="宋体" w:hAnsi="宋体" w:eastAsia="宋体" w:cs="宋体"/>
          <w:color w:val="000000" w:themeColor="text1"/>
          <w:szCs w:val="21"/>
        </w:rPr>
        <w:t>(最大风频)的下风向，接受的汽车尾气较西侧多。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</w:p>
    <w:sectPr>
      <w:headerReference r:id="rId5" w:type="first"/>
      <w:headerReference r:id="rId3" w:type="default"/>
      <w:headerReference r:id="rId4" w:type="even"/>
      <w:footerReference r:id="rId6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iti SC Medium">
    <w:altName w:val="宋体"/>
    <w:panose1 w:val="02000000000000000000"/>
    <w:charset w:val="86"/>
    <w:family w:val="auto"/>
    <w:pitch w:val="default"/>
    <w:sig w:usb0="00000000" w:usb1="00000000" w:usb2="00000000" w:usb3="00000000" w:csb0="203E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996057"/>
    <w:multiLevelType w:val="multilevel"/>
    <w:tmpl w:val="7B996057"/>
    <w:lvl w:ilvl="0" w:tentative="0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7B996058"/>
    <w:multiLevelType w:val="multilevel"/>
    <w:tmpl w:val="7B996058"/>
    <w:lvl w:ilvl="0" w:tentative="0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7B996059"/>
    <w:multiLevelType w:val="multilevel"/>
    <w:tmpl w:val="7B996059"/>
    <w:lvl w:ilvl="0" w:tentative="0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7B99605A"/>
    <w:multiLevelType w:val="multilevel"/>
    <w:tmpl w:val="7B99605A"/>
    <w:lvl w:ilvl="0" w:tentative="0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20F54D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qFormat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18">
    <w:name w:val="MTDisplayEquation"/>
    <w:basedOn w:val="1"/>
    <w:next w:val="1"/>
    <w:qFormat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19">
    <w:name w:val="_Style 17"/>
    <w:basedOn w:val="1"/>
    <w:qFormat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0">
    <w:name w:val="p141"/>
    <w:basedOn w:val="10"/>
    <w:qFormat/>
    <w:uiPriority w:val="0"/>
    <w:rPr>
      <w:sz w:val="24"/>
      <w:szCs w:val="24"/>
    </w:rPr>
  </w:style>
  <w:style w:type="paragraph" w:customStyle="1" w:styleId="2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2">
    <w:name w:val="Normal (Web)"/>
    <w:basedOn w:val="21"/>
    <w:unhideWhenUsed/>
    <w:qFormat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12</Characters>
  <Lines>1</Lines>
  <Paragraphs>1</Paragraphs>
  <TotalTime>9</TotalTime>
  <ScaleCrop>false</ScaleCrop>
  <LinksUpToDate>false</LinksUpToDate>
  <CharactersWithSpaces>13</CharactersWithSpaces>
  <HyperlinkBase>http://www.ks5u.com</HyperlinkBase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2009-03-27T08:43:00Z</dcterms:created>
  <dc:creator>Administrator</dc:creator>
  <cp:lastModifiedBy>Administrator</cp:lastModifiedBy>
  <dcterms:modified xsi:type="dcterms:W3CDTF">2021-07-27T08:33:54Z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2052-11.1.0.10578</vt:lpwstr>
  </property>
  <property fmtid="{D5CDD505-2E9C-101B-9397-08002B2CF9AE}" pid="5" name="ICV">
    <vt:lpwstr>77CF90296D484818A3BFF6A4E95549E3</vt:lpwstr>
  </property>
</Properties>
</file>