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0"/>
          <w:szCs w:val="30"/>
          <w:u w:val="single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姓名</w:t>
      </w:r>
      <w:r>
        <w:rPr>
          <w:rFonts w:hint="eastAsia" w:ascii="Times New Roman" w:hAnsi="宋体" w:eastAsia="宋体" w:cs="Times New Roman"/>
          <w:b/>
          <w:sz w:val="30"/>
          <w:szCs w:val="30"/>
          <w:u w:val="single"/>
          <w:lang w:eastAsia="zh-CN"/>
        </w:rPr>
        <w:t xml:space="preserve">                                 </w:t>
      </w: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座位号</w:t>
      </w:r>
      <w:r>
        <w:rPr>
          <w:rFonts w:hint="eastAsia" w:ascii="Times New Roman" w:hAnsi="宋体" w:eastAsia="宋体" w:cs="Times New Roman"/>
          <w:b/>
          <w:sz w:val="30"/>
          <w:szCs w:val="30"/>
          <w:u w:val="single"/>
          <w:lang w:eastAsia="zh-CN"/>
        </w:rPr>
        <w:t xml:space="preserve">                                 .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0"/>
          <w:szCs w:val="30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（在此卷上答题无效）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绝密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启用前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2021</w:t>
      </w:r>
      <w:r>
        <w:rPr>
          <w:rFonts w:ascii="Times New Roman" w:hAnsi="宋体" w:eastAsia="宋体" w:cs="Times New Roman"/>
          <w:b/>
          <w:sz w:val="44"/>
          <w:szCs w:val="44"/>
          <w:lang w:eastAsia="zh-CN"/>
        </w:rPr>
        <w:t>届</w:t>
      </w: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“</w:t>
      </w:r>
      <w:r>
        <w:rPr>
          <w:rFonts w:ascii="Times New Roman" w:hAnsi="宋体" w:eastAsia="宋体" w:cs="Times New Roman"/>
          <w:b/>
          <w:sz w:val="44"/>
          <w:szCs w:val="44"/>
          <w:lang w:eastAsia="zh-CN"/>
        </w:rPr>
        <w:t>江南十校</w:t>
      </w: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”</w:t>
      </w:r>
      <w:r>
        <w:rPr>
          <w:rFonts w:ascii="Times New Roman" w:hAnsi="宋体" w:eastAsia="宋体" w:cs="Times New Roman"/>
          <w:b/>
          <w:sz w:val="44"/>
          <w:szCs w:val="44"/>
          <w:lang w:eastAsia="zh-CN"/>
        </w:rPr>
        <w:t>一模联考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ascii="Times New Roman" w:hAnsi="宋体" w:eastAsia="宋体" w:cs="Times New Roman"/>
          <w:b/>
          <w:sz w:val="44"/>
          <w:szCs w:val="44"/>
          <w:lang w:eastAsia="zh-CN"/>
        </w:rPr>
        <w:t>理科综合</w:t>
      </w:r>
      <w:r>
        <w:rPr>
          <w:rFonts w:hint="eastAsia" w:ascii="Times New Roman" w:hAnsi="宋体" w:eastAsia="宋体" w:cs="Times New Roman"/>
          <w:b/>
          <w:sz w:val="44"/>
          <w:szCs w:val="44"/>
          <w:lang w:val="en-US" w:eastAsia="zh-CN"/>
        </w:rPr>
        <w:t xml:space="preserve"> 物理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注意事项：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答卷前，考生务必将自己的姓名和座位号填写在答题卡上。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回答选择题时，选出每小题答案后，用铅笔把答题卡上对应题目的答案标号涂黑。如需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改动，用橡皮擦干净后，再选涂其它答案标号。回答非选择题时，将答案写在答题卡上。写在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本试卷上无效。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考试结束后，将本试卷和答题卡一并交回。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可能用到的相对原子质量：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Li7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P31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S32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C1 35.5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K 39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14~18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题只有一项符合题目要求，第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19~21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题有多项符合题目要求。全部选对的得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分，选对但不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全的得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分，有选错的得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氢原子能级示意图如图所示。下列说法正确的是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867025" cy="178117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氢原子由较高能级跃迁到较低能级时，电势能增大，其核外电子的动能减小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当氢原子从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n=4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能级跃迁到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n=2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能级时，辐射出的光不能使逸出功为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2.25eV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的钾发生光电效应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66040</wp:posOffset>
            </wp:positionV>
            <wp:extent cx="847725" cy="1409700"/>
            <wp:effectExtent l="0" t="0" r="9525" b="0"/>
            <wp:wrapTight wrapText="bothSides">
              <wp:wrapPolygon>
                <wp:start x="0" y="0"/>
                <wp:lineTo x="0" y="21308"/>
                <wp:lineTo x="21357" y="21308"/>
                <wp:lineTo x="21357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一群处于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n=4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能级的氢原子向低能级跃迁时，辐射出的光频率最多有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种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用能量为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9eV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4.6eV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的两种光同时照射大量的氢原子，有可能使处于基态的氢原子电离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两个质量均为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的小球（视为质点）悬挂在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点，在小球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上施加一个外力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缓慢地让两个小球偏离原来的位置，直到轻绳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与竖直方向成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角的平衡位置，当外力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最小时，轻绳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与轻绳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上的拉力大小之比为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A.2:1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lang w:eastAsia="zh-CN"/>
        </w:rPr>
        <w:t xml:space="preserve"> </w:t>
      </w:r>
      <w:r>
        <w:object>
          <v:shape id="_x0000_i1025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:3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lang w:eastAsia="zh-CN"/>
        </w:rPr>
        <w:t xml:space="preserve"> </w:t>
      </w:r>
      <w:r>
        <w:object>
          <v:shape id="_x0000_i1026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:2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34925</wp:posOffset>
            </wp:positionV>
            <wp:extent cx="1725930" cy="1323975"/>
            <wp:effectExtent l="0" t="0" r="7620" b="9525"/>
            <wp:wrapTight wrapText="bothSides">
              <wp:wrapPolygon>
                <wp:start x="0" y="0"/>
                <wp:lineTo x="0" y="21445"/>
                <wp:lineTo x="21457" y="21445"/>
                <wp:lineTo x="21457" y="0"/>
                <wp:lineTo x="0" y="0"/>
              </wp:wrapPolygon>
            </wp:wrapTight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lang w:eastAsia="zh-CN"/>
        </w:rPr>
        <w:t xml:space="preserve"> </w:t>
      </w:r>
      <w:r>
        <w:object>
          <v:shape id="_x0000_i1027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:1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分，嫦娥五号探测器在近月点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再次刹车，从椭圆环月轨道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变为近圆轨道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II(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视为圆轨道），如图是嫦娥五号探测器变轨的简化示意图，其中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点是椭圆轨道的远地点。下列说法正确的是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嫦娥五号探测器在轨道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的过程中机械能增加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嫦娥五号探测器在轨道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的过程中机械能减少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嫦娥五号探测器在轨道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上运动过程中经过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点的加速度等于在轨道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上运动过程中经过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点的加速度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嫦娥五号探测器在轨道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上运动时的机械能大于在轨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146050</wp:posOffset>
            </wp:positionV>
            <wp:extent cx="1381125" cy="1123950"/>
            <wp:effectExtent l="0" t="0" r="9525" b="0"/>
            <wp:wrapTight wrapText="bothSides">
              <wp:wrapPolygon>
                <wp:start x="0" y="0"/>
                <wp:lineTo x="0" y="21234"/>
                <wp:lineTo x="21451" y="21234"/>
                <wp:lineTo x="21451" y="0"/>
                <wp:lineTo x="0" y="0"/>
              </wp:wrapPolygon>
            </wp:wrapTight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道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上运动时的机械能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1kg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的物体以初速度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从固定斜面底端冲上斜面，物体在斜面上运动过程中的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04800" cy="314325"/>
            <wp:effectExtent l="0" t="0" r="0" b="9525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图像如图所示（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g=10m/s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此斜面与水平面夹角为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37°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B.2s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内该物体重力势能变化的最大值为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12.5J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该物体在斜面上运动过程中机械能一定不守恒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该物体在斜面上运动过程中合外力冲量为零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76200</wp:posOffset>
            </wp:positionV>
            <wp:extent cx="1076325" cy="1057275"/>
            <wp:effectExtent l="0" t="0" r="9525" b="9525"/>
            <wp:wrapTight wrapText="bothSides">
              <wp:wrapPolygon>
                <wp:start x="0" y="0"/>
                <wp:lineTo x="0" y="21405"/>
                <wp:lineTo x="21409" y="21405"/>
                <wp:lineTo x="21409" y="0"/>
                <wp:lineTo x="0" y="0"/>
              </wp:wrapPolygon>
            </wp:wrapTight>
            <wp:docPr id="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如图，电荷量分别为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q(q&gt;0)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的点电荷固定在边长为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的正方体的两个顶点上，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是正方体的另一个顶点，如果点电荷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连线中点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的电场强度大小是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则正方形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点的电场强度大小是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A.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85750" cy="390525"/>
            <wp:effectExtent l="0" t="0" r="0" b="9525"/>
            <wp:docPr id="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B.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09575" cy="400050"/>
            <wp:effectExtent l="0" t="0" r="9525" b="0"/>
            <wp:docPr id="1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C.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04800" cy="371475"/>
            <wp:effectExtent l="0" t="0" r="0" b="9525"/>
            <wp:docPr id="1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D.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66725" cy="381000"/>
            <wp:effectExtent l="0" t="0" r="9525" b="0"/>
            <wp:docPr id="1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118745</wp:posOffset>
            </wp:positionV>
            <wp:extent cx="1228725" cy="1533525"/>
            <wp:effectExtent l="0" t="0" r="9525" b="9525"/>
            <wp:wrapTight wrapText="bothSides">
              <wp:wrapPolygon>
                <wp:start x="0" y="0"/>
                <wp:lineTo x="0" y="21466"/>
                <wp:lineTo x="21433" y="21466"/>
                <wp:lineTo x="21433" y="0"/>
                <wp:lineTo x="0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如图，在竖直向下的匀强电场（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E=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76225" cy="371475"/>
            <wp:effectExtent l="0" t="0" r="9525" b="9525"/>
            <wp:docPr id="1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中，一质量为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带电量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为－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q(q&gt;0)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的小球，用长为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的轻绳悬挂于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点，让小球在竖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直平面内做圆周运动，其中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是圆周上的最高点和最低点，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则下列说法正确的是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若要完成完整的圆周运动，到达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点的速度至少为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81025" cy="219075"/>
            <wp:effectExtent l="0" t="0" r="9525" b="9525"/>
            <wp:docPr id="1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若要完成完整的圆周运动，到达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点的速度至少为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695325" cy="209550"/>
            <wp:effectExtent l="0" t="0" r="9525" b="0"/>
            <wp:docPr id="1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小球由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的过程中，绳子拉力逐渐减小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小球由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的过程中，小球电势能的增加量等于重力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势能减少量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如图，矩形导线线框水平固定放置，框中有磁感应强度大小为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、方向竖直向下的匀强磁场，导线的电阻分布均匀，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ab=L,bc=2L,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长度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的导线电阻为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与线框材料相同，横截面积也相同的导体棒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两端搭接在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在水平外力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的作用下，从紧挨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处（与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不接触）匀速运动到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附近。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与线框始终保持良好接触，在运动过程中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38100</wp:posOffset>
            </wp:positionV>
            <wp:extent cx="1619250" cy="857250"/>
            <wp:effectExtent l="0" t="0" r="0" b="0"/>
            <wp:wrapTight wrapText="bothSides">
              <wp:wrapPolygon>
                <wp:start x="0" y="0"/>
                <wp:lineTo x="0" y="21120"/>
                <wp:lineTo x="21346" y="21120"/>
                <wp:lineTo x="21346" y="0"/>
                <wp:lineTo x="0" y="0"/>
              </wp:wrapPolygon>
            </wp:wrapTight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导体棒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中的电流方向由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导体棒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两端的电压变化量与流经它的电流变化量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的绝对值之比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361950" cy="4191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先增大，后减小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导体棒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运动到线框中点过程中，线框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中电流功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率先增大，后减小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导体棒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运动到线框中点过程中，通过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的电荷量为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4445</wp:posOffset>
            </wp:positionV>
            <wp:extent cx="1838325" cy="1152525"/>
            <wp:effectExtent l="0" t="0" r="9525" b="9525"/>
            <wp:wrapTight wrapText="bothSides">
              <wp:wrapPolygon>
                <wp:start x="0" y="0"/>
                <wp:lineTo x="0" y="21421"/>
                <wp:lineTo x="21488" y="21421"/>
                <wp:lineTo x="21488" y="0"/>
                <wp:lineTo x="0" y="0"/>
              </wp:wrapPolygon>
            </wp:wrapTight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如图所示，一轻质弹簧置于固定的光滑斜面上，下端固定在斜面上，弹簧原长时上端在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点，将一物块甲轻放在弹簧上端静止释放，甲下降至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点时速度最大，下降至最低点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时，加速度大小为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23825" cy="323850"/>
            <wp:effectExtent l="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g,OB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长度为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换用另一质量为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的物块乙从距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点静止释放，也恰好将弹簧压缩至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点，不计空气阻力，弹簧在弹性限度内，重力加速度为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g,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=37°,(sin 37°=0.6)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弹簧最大弹性势能为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476250" cy="352425"/>
            <wp:effectExtent l="0" t="0" r="0" b="952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弹簧的劲度系数为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371475" cy="371475"/>
            <wp:effectExtent l="0" t="0" r="9525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处的加速度大小为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57175" cy="381000"/>
            <wp:effectExtent l="0" t="0" r="9525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乙的最大动能为</w:t>
      </w:r>
      <w:r>
        <w:object>
          <v:shape id="_x0000_i1028" o:spt="75" alt=" 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9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三、非选择题：共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174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22~32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题为必考题，每个试题考生都必须作答。第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33~38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选考题，考生根据要求作答。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（一）必考题：共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129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95250</wp:posOffset>
            </wp:positionV>
            <wp:extent cx="1400175" cy="2095500"/>
            <wp:effectExtent l="0" t="0" r="9525" b="0"/>
            <wp:wrapTight wrapText="bothSides">
              <wp:wrapPolygon>
                <wp:start x="0" y="0"/>
                <wp:lineTo x="0" y="21404"/>
                <wp:lineTo x="21453" y="21404"/>
                <wp:lineTo x="21453" y="0"/>
                <wp:lineTo x="0" y="0"/>
              </wp:wrapPolygon>
            </wp:wrapTight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22.(6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某物理兴趣小组利用阿特伍德机装置开展力学实验，如图（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所示，两物块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由不可伸长的轻绳连接，轻绳跨过光滑的轻质滑轮，物块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上面固定有宽度为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的遮光片，物块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含遮光片）的质量为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M(M=1.5m),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光电门固定在铁架台上，高度可以调节，用测量物块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经过光电门时的遮光时间。空气阻力忽略不计。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甲组同学用此装置测量当地的重力加速度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实验过程如下：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用手托住物块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使两物块均处于静止状态，利用刻度尺测量出物块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上的遮光片到光电门的距离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h;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释放物块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两物块由静止开始运动，记录物块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的遮光片经过光电门时的挡光时间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则此时物块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的速度为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507365</wp:posOffset>
            </wp:positionV>
            <wp:extent cx="1295400" cy="1190625"/>
            <wp:effectExtent l="0" t="0" r="0" b="9525"/>
            <wp:wrapTight wrapText="bothSides">
              <wp:wrapPolygon>
                <wp:start x="0" y="0"/>
                <wp:lineTo x="0" y="21427"/>
                <wp:lineTo x="21282" y="21427"/>
                <wp:lineTo x="21282" y="0"/>
                <wp:lineTo x="0" y="0"/>
              </wp:wrapPolygon>
            </wp:wrapTight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改变物块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的遮光片与光电门的距离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重复以上步骤进行多次实验，得到多组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并记录，描绘出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14325" cy="381000"/>
            <wp:effectExtent l="0" t="0" r="9525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的图像如图（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计算得到图像的斜率为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由此求出当地的重力加速度为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乙组同学计划利用此装置进行其它力学实验，身边只有以上给定器材，下列实验中他们可以完成的有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（用选项前字母表示）：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验证系统的动量守恒定律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验证系统的机械能守恒定律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探究物块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的加速度与质量的关系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探究物块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的功与速度变化的关系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23.(9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如图所示为某多用电表内部简化电路图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447925" cy="1762125"/>
            <wp:effectExtent l="0" t="0" r="9525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探索黑箱内的电学元件时，如需判断有无电容器，选择开关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应接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，如要判断黑箱中有无电源，从更安全的角度出发，选择开关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应接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（选填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“1”“2”“3”“4”“5”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“6”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为表头的满偏电流，若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R,=R,=R2,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则选择开关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1,2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时，两直流电流档量程最大值之比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;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已知表头的满偏电流为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内阻为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400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选择开关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时为直流电压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5V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档，选择开关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时为直流电流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1mA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档，则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24.(12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如图所示，空间水平放置一平行板电容器，板内有竖直向下的匀强电场，板长及板间距都为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平行板下极板右端与直角三角形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点重合，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水平，三角形区域内部有垂直纸面向内的强磁场。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边长为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0.58L,</w:t>
      </w:r>
      <w:r>
        <w:rPr>
          <w:rFonts w:hint="eastAsia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A=37°.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一带正电粒子以初速度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从上板左边缘平行射入电场，从右侧射出，又经一段时间垂直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边进人磁场，恰好不能从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边射出。（不计粒子重力及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空气阻力，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sin 37°=0.6,cos 37°=0.8),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求：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305050" cy="1419225"/>
            <wp:effectExtent l="0" t="0" r="0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电场强度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的大小与磁感应强度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的大小的比值；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粒子在磁场中的运动时间。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25.(20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如图甲所示，在光滑水平面上，固定一个四分之一竖直圆弧轨道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半径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R=1m,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圆弧最低点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静止放置一个可视为质点的小物块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m,m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1kg,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紧挨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右侧有一个上表面与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齐平的足够长木板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M,M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2kg.m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之间的动摩擦因数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=0.2.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一个可视为质点的质量为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0.5kg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的小物块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点正上方距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点一定高度处由静止释放，沿圆弧轨道到达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点时与小物块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发生完全弹性正碰，碰后瞬间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点的压力大小为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9.5N.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此刻对长木板施加一水平向右的拉力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F,F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变化的关系如图乙所示，求：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碰撞后瞬间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的速度大小；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2)3.5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秒内小物块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在长木板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上滑行的相对路程；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从计时开始到最终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相对静止时系统产生的内能。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334000" cy="1666875"/>
            <wp:effectExtent l="0" t="0" r="0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（二）选考题：共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分。请考生从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道物理题、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道化学题、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道生物题中每科任选一题作答。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如果多做，则每科按所做的第一题计分。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33.[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物理－选修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3-3](15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1)(5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分）下列说法正确的是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分子间作用力表现为引力时，随着分子势能增大，分子间作用力可能先增大后减小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相对湿度指的是同一温度时，水的饱和汽压与空气中水蒸气的压强之比，人们感觉天气干燥时，主要原因在于相对湿度小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一切自发过程总是沿分子热运动无序性增大的方向进行，体现热力学第二定律的微观意义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一定量的某种理想气体在等压膨胀过程中，气体对外做功一定是吸热过程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E.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布朗运动不是液体分子运动，是悬浮微粒分子运动，温度越高，布朗运动越明显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2)(10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分）图甲中，竖直放置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80975" cy="200025"/>
            <wp:effectExtent l="0" t="0" r="9525" b="952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形状的均匀导热气缸，一端横截面积为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另一端横截面积为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2S,AB=h,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气缸内有一个可自由移动的活塞（厚度不计），重力大小为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横截面积为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2S,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初始时活塞水平静止于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位置，把缸内密闭气体与外界大气隔开，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BC=4h.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已知大气压强为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环境温度为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现把该装置缓慢倒置放置，稳定后。（不计一切摩擦）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求缸内封闭气体的体积；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ii)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若环境温度降低至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14300" cy="381000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时，求内部封闭气体的压强。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724025" cy="1305560"/>
            <wp:effectExtent l="0" t="0" r="9525" b="889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34.[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物理－选修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3-4](15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1)(5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分）一列简谐横波某时刻波形如图所示，下列说法正确的是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352675" cy="1398270"/>
            <wp:effectExtent l="0" t="0" r="9525" b="1143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9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一个周期后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处的质点运动到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B.x=a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处的质点振动频率相同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若简谐横波向右传播，从图示时刻经过四分之一个周期，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处的质点所通过的路程大于振幅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从图示时刻经过半个周期，回复力对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处的质点做功一定为零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E.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通过该简谐横波的图像可以得到某一质点在各时刻的位移及速度、加速度的方向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24765</wp:posOffset>
            </wp:positionV>
            <wp:extent cx="1095375" cy="1066800"/>
            <wp:effectExtent l="0" t="0" r="9525" b="0"/>
            <wp:wrapTight wrapText="bothSides">
              <wp:wrapPolygon>
                <wp:start x="0" y="0"/>
                <wp:lineTo x="0" y="21214"/>
                <wp:lineTo x="21412" y="21214"/>
                <wp:lineTo x="21412" y="0"/>
                <wp:lineTo x="0" y="0"/>
              </wp:wrapPolygon>
            </wp:wrapTight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2)(10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分）如图为一半径为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的玻璃半圆柱体的截面，一束单色光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射向该半圆柱体，入射点为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单色光在空气中的速度为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改变光线的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人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射方向，当人射角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=60°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时，光线恰好能从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OA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中点垂直射出，求该玻璃半圆柱体的折射率；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ii)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再次改变入射光线的方向，当人射角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=30°,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且光线竖直向下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时，求这束光进人半圆柱体后，经多长时间从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射出。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20" name="图片 20" descr="物理解析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物理解析答案_1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9" name="图片 19" descr="物理解析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物理解析答案_2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6" name="图片 16" descr="物理解析答案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物理解析答案_3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3" name="图片 13" descr="物理解析答案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物理解析答案_4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0" name="图片 10" descr="物理解析答案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物理解析答案_5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7" name="图片 7" descr="物理解析答案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物理解析答案_6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4" name="图片 4" descr="物理解析答案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物理解析答案_7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" name="图片 1" descr="物理解析答案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物理解析答案_8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21" name="图片 21" descr="物理解析答案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物理解析答案_9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8029F"/>
    <w:rsid w:val="0B08029F"/>
    <w:rsid w:val="71C15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2" Type="http://schemas.openxmlformats.org/officeDocument/2006/relationships/fontTable" Target="fontTable.xml"/><Relationship Id="rId51" Type="http://schemas.openxmlformats.org/officeDocument/2006/relationships/customXml" Target="../customXml/item1.xml"/><Relationship Id="rId50" Type="http://schemas.openxmlformats.org/officeDocument/2006/relationships/image" Target="media/image43.png"/><Relationship Id="rId5" Type="http://schemas.openxmlformats.org/officeDocument/2006/relationships/image" Target="media/image2.png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image" Target="media/image1.png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wmf"/><Relationship Id="rId3" Type="http://schemas.openxmlformats.org/officeDocument/2006/relationships/theme" Target="theme/theme1.xml"/><Relationship Id="rId29" Type="http://schemas.openxmlformats.org/officeDocument/2006/relationships/oleObject" Target="embeddings/oleObject4.bin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2021-03-08T06:14:00Z</dcterms:created>
  <dc:creator>Administrator</dc:creator>
  <cp:lastModifiedBy>Administrator</cp:lastModifiedBy>
  <dcterms:modified xsi:type="dcterms:W3CDTF">2021-03-12T07:57:18Z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