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ody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</w:t>
      </w: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～</w:t>
      </w: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2021学年度第一学期期末</w:t>
      </w: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校联考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高三政治</w:t>
      </w:r>
    </w:p>
    <w:p>
      <w:pPr>
        <w:pStyle w:val="BodyText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黑体" w:eastAsia="黑体" w:hAnsi="黑体" w:cs="黑体"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出题学校：</w:t>
      </w:r>
      <w:r>
        <w:rPr>
          <w:rFonts w:ascii="黑体" w:eastAsia="黑体" w:hAnsi="黑体" w:cs="黑体" w:hint="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宝坻一中</w:t>
      </w:r>
      <w:r>
        <w:rPr>
          <w:rFonts w:ascii="黑体" w:eastAsia="黑体" w:hAnsi="黑体" w:cs="黑体"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四十七中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/>
        <w:jc w:val="center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第</w:t>
      </w:r>
      <w:r>
        <w:rPr>
          <w:rFonts w:ascii="黑体" w:eastAsia="黑体" w:hAnsi="黑体" w:cs="黑体"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黑体" w:eastAsia="黑体" w:hAnsi="黑体" w:cs="黑体"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= 1 \* ROMAN </w:instrText>
      </w:r>
      <w:r>
        <w:rPr>
          <w:rFonts w:ascii="黑体" w:eastAsia="黑体" w:hAnsi="黑体" w:cs="黑体"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黑体" w:eastAsia="黑体" w:hAnsi="黑体" w:cs="黑体"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ascii="黑体" w:eastAsia="黑体" w:hAnsi="黑体" w:cs="黑体"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黑体" w:eastAsia="黑体" w:hAnsi="黑体" w:cs="黑体"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卷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6" w:lineRule="exact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本卷共15题，每题3分，共45分。在每题给出的四个选项中，只有一项最符合题目要求。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6" w:lineRule="exact"/>
        <w:ind w:left="315" w:hanging="315" w:hanging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2020年10月8日，深圳市人民政府联合中国人民银行开展数字人民币红包试点。数字人民币是由中国人民银行发行的数字形式的法定货币，由指定运营机构参与运营并向公众兑换，其功能属性与纸币相同，可视为纸币的数字化形态。数字人民币的使用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6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①提高了支付便捷性，助推数字经济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②将会逐步取代现金，防止通货膨胀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6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③以国家信用为支撑，杜绝投资风险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④利于监控货币流通，提供决策依据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6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①③  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①④    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②③   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②④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6" w:lineRule="exact"/>
        <w:ind w:left="315" w:hanging="315" w:hangingChars="150"/>
        <w:jc w:val="left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2020年以来，央行先后三次降低存款准备金率，并对部分中小银行定向降低存款准备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  <w:t>金率，累计释放资金约1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pacing w:val="-6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  <w:t>7万亿元。在不考虑其他因素条件下，由此产生的积极影响有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6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①增加市场流动性--支持实体经济--促进经济持续向好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6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②降低银行利率--减轻企业负担--生产性消费能力增强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6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③增加信贷资金--缓解企业资金压力--激发企业活力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6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④改善融资环境--缓解就业压力--刺激新型基础设施建设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6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A．①③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①④     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②③   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②④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6" w:lineRule="exact"/>
        <w:ind w:left="315" w:hanging="315" w:hangingChars="150"/>
        <w:jc w:val="left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2020年10月12日，中国广电网络股份有限公司正式成立，成为继中国移动、中国联通、中国电信之外的第四大电信运营商，是推进全国有线电视网络整合和广电5G 建设一体化发展迈出的重要一步。中国广电网络股份有限公司成立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6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  <w:t>①整合有线电视行业，推动行业转型升级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-6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pacing w:val="-6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pacing w:val="-6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  <w:t>②带来更充分的竞争，形成新的行业格局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6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③改变企业组织形式，降低市场经营风险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④实现融合创新，推动经济高速发展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6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①②  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B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①④   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C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②③    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③④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6" w:lineRule="exact"/>
        <w:ind w:left="315" w:hanging="315" w:hangingChars="150"/>
        <w:jc w:val="left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新修订的《养老机构管理办法》，2020年11月1日起施行。《办法》从养老机构的功能定位到备案管理、运营管理、服务规范、监督检查等各方面，对养老机构服务中存在的问题予以规范，增加养老机构办理备案的便利程度，提升养老机构的公共卫生应急能力，完善安全保障工作要求。该修改旨在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6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①减轻政府财政负担，鼓励社会力量承担政府职能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6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②规范养老机构服务，提高养老服务能力和服务质量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6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③加强养老机构管理，推动养老服务业健康有序发展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6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④推动养老服务改革，提高养老服务业的经济效益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6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A．①③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①④    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②③    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②④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315" w:hanging="315" w:hangingChars="150"/>
        <w:jc w:val="left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赵金龙同志现任某村党总支书记，是县、市人大代表。二十年来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他时时处处想着人民群众，努力做好代表工作，认真履行代表职责。他努力学习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明确职责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提高自身素质。在工作中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他按照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当代表、尽职贵、作贡献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的原则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认真为人民办事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与百姓保持密切的联系。这说明作为身在基层的人大代表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>应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①审议各项议案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表决各项决定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审慎行使决定权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②有权依法处理和解决人民群众的各种问题和矛盾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③与人民群众保持密切联系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反映人民的诉求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>树立义务意识，提高履职能力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①②  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①④   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②③   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③④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315" w:hanging="315" w:hangingChars="150"/>
        <w:jc w:val="left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eastAsia="宋体" w:cs="Times New Roman" w:hint="eastAsia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突如其来的新冠肺炎疫情，改变了世界经济运行态势，全球大多数经济体都面临衰退风险。世界银行预计今年全球经济将下滑5</w:t>
      </w:r>
      <w:r>
        <w:rPr>
          <w:rFonts w:eastAsia="宋体" w:cs="Times New Roman" w:hint="eastAsia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2%，是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二战以来最严重的经济衰退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。面对世界经济未来预期的不确定性上升，举办服贸会展现了中国迈出推进国际合作的一大步。由此可见，举办服贸会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①基于国家间的共同利益是国家合作的基础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②契合联合国的宗旨和当今和平发展时代的主题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③符合我国维护世界和平、促进共同发展的外交立场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④显现出我国在谋求各国共同发展中促进自身发展的坚定决心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A</w:t>
      </w:r>
      <w:r>
        <w:rPr>
          <w:rFonts w:eastAsia="宋体" w:cs="Times New Roman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①②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B</w:t>
      </w:r>
      <w:r>
        <w:rPr>
          <w:rFonts w:eastAsia="宋体" w:cs="Times New Roman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③④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C</w:t>
      </w:r>
      <w:r>
        <w:rPr>
          <w:rFonts w:eastAsia="宋体" w:cs="Times New Roman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②③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D</w:t>
      </w:r>
      <w:r>
        <w:rPr>
          <w:rFonts w:eastAsia="宋体" w:cs="Times New Roman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①④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315" w:hanging="315" w:hangingChars="150"/>
        <w:jc w:val="left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pacing w:val="0"/>
          <w:w w:val="10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2020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-22"/>
          <w:sz w:val="21"/>
          <w:szCs w:val="21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9月，远在非洲的毛里求斯举行了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美丽中国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主题开放日活动，当地师生一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0"/>
          <w:w w:val="100"/>
          <w:sz w:val="21"/>
          <w:szCs w:val="21"/>
          <w14:textFill>
            <w14:solidFill>
              <w14:schemeClr w14:val="tx1"/>
            </w14:solidFill>
          </w14:textFill>
        </w:rPr>
        <w:t>起观看了影片《超乎想象的中国》，中国的历史文化和人文风情深深地吸引了孩子们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0"/>
          <w:w w:val="10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0"/>
          <w:w w:val="100"/>
          <w:sz w:val="21"/>
          <w:szCs w:val="21"/>
          <w14:textFill>
            <w14:solidFill>
              <w14:schemeClr w14:val="tx1"/>
            </w14:solidFill>
          </w14:textFill>
        </w:rPr>
        <w:t>这启示我们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①文化既是民族的，也是世界的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②要主动传播中华文化，增强其国际影响力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③文化多样性是文化创新的基础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④中华文化是可以获得其他民族认同的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A．①②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B．①④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C．②③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D．③④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315" w:hanging="315" w:hangingChars="150"/>
        <w:jc w:val="left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铁画，也称铁花，安徽芜湖特产，为中国独具风格的非物质文化遗产。铁画是以低炭钢为原料，将铁片和秋线假打焊接成的各种装饰面。它将民间剪纸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雕刻、镶嵌等各种艺术的技法溶为一体，采用中国画章法，黑白对比，虚实结合，另有一番情趣。可是有人认为，铁画在今天的作用已经微乎其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微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，请你用下列关键词进行反驳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文化传承 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文化借鉴   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文化包容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文化影响     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 w:hint="eastAsia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文化传承   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文化自信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文化传播    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 w:hint="eastAsia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文化借鉴      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文化自信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文化传播     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 w:hint="eastAsia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 xml:space="preserve">文化包容   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文化发展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315" w:hanging="315" w:hangingChars="150"/>
        <w:jc w:val="left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关公是忠义形象的代表，在名利、富贵、劫难面前，保持铁骨铮铮的气节，他的人格力量让后世为之动容，也让后人争相效仿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如今，忠义精神也有了新的解读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对于军人，忠义的精量是守卫国土；对于法官，忠义的精髓是公正决断；对于医生，忠义的精神是妙手仁心</w:t>
      </w:r>
      <w:r>
        <w:rPr>
          <w:rFonts w:ascii="宋体" w:eastAsia="宋体" w:hAnsi="宋体" w:cs="宋体"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……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这体现了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①对传统文化的承袭是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时代精神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的根基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②传统文化在世代相传中保留着基本特征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③大众传媒具有选择、传递、创造文化的特定功能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④源远流长，博大精深的中华文化积淀着中华民族的精神追求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315" w:firstLineChars="15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①②       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①③    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②④     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③④</w:t>
      </w:r>
    </w:p>
    <w:p>
      <w:pPr>
        <w:pStyle w:val="NoSpacing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0" w:hanging="420" w:hangingChars="20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pacing w:val="5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2020年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以《隐秘的角落》《重生》《奇门遁甲》等为代表的一批网络影视剧，因制作精良而获得较高的口碑。这些网络影视剧的创作者们，大量投入现实主义领域，将对社会议题的关注、真实生活的观察注入到作品中，并在这些现实性的创作中，始终贯彻着主流价值观。这些网络影视剧的成功制作表明</w:t>
      </w:r>
    </w:p>
    <w:p>
      <w:pPr>
        <w:pStyle w:val="NoSpacing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0" w:firstLineChars="20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pacing w:val="5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5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网络使文化资源的传递方式发生了根本变化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5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5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NoSpacing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0" w:firstLineChars="20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pacing w:val="5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5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社会实践是优秀文化创作的源泉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5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0" w:firstLineChars="20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pacing w:val="5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5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当今时代人们的审美观念趋于一致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5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5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0" w:firstLineChars="20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pacing w:val="5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5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要坚持中国特色社会主义文化发展道路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5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0" w:firstLineChars="20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pacing w:val="5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5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pacing w:val="5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5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①③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5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pacing w:val="5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5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pacing w:val="5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5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①④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5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pacing w:val="5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5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pacing w:val="5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5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②③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5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pacing w:val="5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5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pacing w:val="5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5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②④</w:t>
      </w:r>
    </w:p>
    <w:p>
      <w:pPr>
        <w:pStyle w:val="NoSpacing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0" w:hanging="420" w:hangingChars="20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11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善于运用马克思主义哲学指导实践活动，是中国共产党的鲜明特征。马克思主义哲学之所以能指导实践活动，是因为它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0" w:firstLineChars="20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①提供科学的世界观和方法论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>
            <wp:extent cx="254000" cy="254000"/>
            <wp:docPr id="10000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37760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②提供解决问题的具体方案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0" w:firstLineChars="20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③实现世界观和方法论的统一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-6"/>
          <w:sz w:val="21"/>
          <w:szCs w:val="21"/>
          <w14:textFill>
            <w14:solidFill>
              <w14:schemeClr w14:val="tx1"/>
            </w14:solidFill>
          </w14:textFill>
        </w:rPr>
        <w:t>在实践的基础上实现了科学性和革命性的统一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0" w:firstLineChars="20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①②  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①④  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②③  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③④</w:t>
      </w:r>
    </w:p>
    <w:p>
      <w:pPr>
        <w:pStyle w:val="NoSpacing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0" w:hanging="420" w:hangingChars="20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pacing w:val="0"/>
          <w:sz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12</w:t>
      </w:r>
      <w:r>
        <w:rPr>
          <w:rFonts w:eastAsia="宋体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0"/>
          <w:sz w:val="21"/>
          <w14:textFill>
            <w14:solidFill>
              <w14:schemeClr w14:val="tx1"/>
            </w14:solidFill>
          </w14:textFill>
        </w:rPr>
        <w:t>2020年全面建成小康社会，是</w:t>
      </w:r>
      <w:r>
        <w:rPr>
          <w:rFonts w:eastAsia="宋体" w:cs="Times New Roman" w:hint="eastAsia"/>
          <w:b/>
          <w:bCs/>
          <w:color w:val="000000" w:themeColor="text1"/>
          <w:spacing w:val="0"/>
          <w:sz w:val="21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0"/>
          <w:sz w:val="21"/>
          <w14:textFill>
            <w14:solidFill>
              <w14:schemeClr w14:val="tx1"/>
            </w14:solidFill>
          </w14:textFill>
        </w:rPr>
        <w:t>两个100年奋斗目标的第一个百年奋斗目标，是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我们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0"/>
          <w:sz w:val="21"/>
          <w14:textFill>
            <w14:solidFill>
              <w14:schemeClr w14:val="tx1"/>
            </w14:solidFill>
          </w14:textFill>
        </w:rPr>
        <w:t>党向人民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0"/>
          <w:sz w:val="2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0"/>
          <w:sz w:val="21"/>
          <w14:textFill>
            <w14:solidFill>
              <w14:schemeClr w14:val="tx1"/>
            </w14:solidFill>
          </w14:textFill>
        </w:rPr>
        <w:t>向历史作出的庄严承诺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0"/>
          <w:sz w:val="2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0"/>
          <w:sz w:val="21"/>
          <w14:textFill>
            <w14:solidFill>
              <w14:schemeClr w14:val="tx1"/>
            </w14:solidFill>
          </w14:textFill>
        </w:rPr>
        <w:t>决胜全面小康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0"/>
          <w:sz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0"/>
          <w:sz w:val="21"/>
          <w14:textFill>
            <w14:solidFill>
              <w14:schemeClr w14:val="tx1"/>
            </w14:solidFill>
          </w14:textFill>
        </w:rPr>
        <w:t>需要</w:t>
      </w:r>
      <w:r>
        <w:rPr>
          <w:rFonts w:eastAsia="宋体" w:cs="Times New Roman" w:hint="eastAsia"/>
          <w:b/>
          <w:bCs/>
          <w:color w:val="000000" w:themeColor="text1"/>
          <w:spacing w:val="0"/>
          <w:sz w:val="21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0"/>
          <w:sz w:val="21"/>
          <w14:textFill>
            <w14:solidFill>
              <w14:schemeClr w14:val="tx1"/>
            </w14:solidFill>
          </w14:textFill>
        </w:rPr>
        <w:t>冲刺精神</w:t>
      </w:r>
      <w:r>
        <w:rPr>
          <w:rFonts w:eastAsia="宋体" w:cs="Times New Roman" w:hint="eastAsia"/>
          <w:b/>
          <w:bCs/>
          <w:color w:val="000000" w:themeColor="text1"/>
          <w:spacing w:val="0"/>
          <w:sz w:val="21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0"/>
          <w:sz w:val="21"/>
          <w14:textFill>
            <w14:solidFill>
              <w14:schemeClr w14:val="tx1"/>
            </w14:solidFill>
          </w14:textFill>
        </w:rPr>
        <w:t>，习近平强调，冲刺是咬紧牙关的时候，是屏息聚力的时候，是比拼意志的时候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0"/>
          <w:sz w:val="2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0"/>
          <w:sz w:val="21"/>
          <w14:textFill>
            <w14:solidFill>
              <w14:schemeClr w14:val="tx1"/>
            </w14:solidFill>
          </w14:textFill>
        </w:rPr>
        <w:t>哲学上讲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0"/>
          <w:sz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0"/>
          <w:sz w:val="21"/>
          <w14:textFill>
            <w14:solidFill>
              <w14:schemeClr w14:val="tx1"/>
            </w14:solidFill>
          </w14:textFill>
        </w:rPr>
        <w:t>这是因为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0" w:firstLineChars="20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①意识对人体生理活动具有调节和控制作用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0" w:firstLineChars="20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②正确的思想意识能推动事物的发展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0" w:firstLineChars="20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③意识具有直接现实性，可以促进目标的实现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0" w:firstLineChars="20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④意识具有主动创造性，可以创造出新的东西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0" w:firstLineChars="20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A</w:t>
      </w:r>
      <w:r>
        <w:rPr>
          <w:rFonts w:eastAsia="宋体" w:cs="Times New Roman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①②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eastAsia="宋体" w:cs="Times New Roman" w:hint="eastAsia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B</w:t>
      </w:r>
      <w:r>
        <w:rPr>
          <w:rFonts w:eastAsia="宋体" w:cs="Times New Roman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①③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eastAsia="宋体" w:cs="Times New Roman" w:hint="eastAsia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C</w:t>
      </w:r>
      <w:r>
        <w:rPr>
          <w:rFonts w:eastAsia="宋体" w:cs="Times New Roman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②④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eastAsia="宋体" w:cs="Times New Roman" w:hint="eastAsia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eastAsia="宋体" w:cs="Times New Roman" w:hint="eastAsia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D</w:t>
      </w:r>
      <w:r>
        <w:rPr>
          <w:rFonts w:eastAsia="宋体" w:cs="Times New Roman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③④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3007360</wp:posOffset>
            </wp:positionH>
            <wp:positionV relativeFrom="paragraph">
              <wp:posOffset>133985</wp:posOffset>
            </wp:positionV>
            <wp:extent cx="1676400" cy="986790"/>
            <wp:effectExtent l="0" t="0" r="0" b="3810"/>
            <wp:wrapNone/>
            <wp:docPr id="2" name="图片 3" descr="高中试卷网 http://sj.fjj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723994" name="图片 3" descr="高中试卷网 http://sj.fjjy.org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>
                      <a:grayscl/>
                      <a:lum bright="-12000"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13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右图漫画《蜻蜓点水》讽刺某些干部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官僚主义，忽视实践的价值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急功近利，只注重质的飞跃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冒进主义，未关注量的积累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浅尝辄止，犯经验主义错误</w:t>
      </w:r>
    </w:p>
    <w:p>
      <w:pPr>
        <w:pStyle w:val="NoSpacing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hanging="420" w:hangingChars="20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14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新型多功能基因组编辑技术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先导编辑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，可以避免DNA双链断裂，原则上可以修正约89%的已知与疾病相关的人类遗传变异体，但是已知的约75000个人类病理性遗传变异体大部分都无法得到有效修正，因此该技术还需要开展进一步的研究。这说明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①人类的基因编辑技术在无限地接近终极的真理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②先导编辑技术能使观念的存在变为现实的存在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③人类对基因编辑的认识是无限的，没有不可认识之物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④先导编辑技术不能让变异体都得到有效修正说明认识具有反复性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A．①③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①④     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②③    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③④</w:t>
      </w:r>
    </w:p>
    <w:p>
      <w:pPr>
        <w:pStyle w:val="NoSpacing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hanging="420" w:hangingChars="20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15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面对新型肺炎，84岁的钟南山教授临危受命，带领团队一边进行临床救治一边开展科研攻关，为疫情防控作出巨大贡献。在获得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共和国勋章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后，他又主动请战继续投身抗疫工作。钟南山的事迹告诉我们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①实现人生价值需要价值观的指引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②要在个人与社会的统一中实现价值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③人既是价值的创造者，也是价值的享受者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④充分发挥主观能动性是实现人生价值的根本途径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A．①③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B．①④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C．②③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D．②④</w:t>
      </w:r>
    </w:p>
    <w:p>
      <w:pPr>
        <w:pStyle w:val="NoSpacing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20" w:afterLines="50" w:line="240" w:lineRule="auto"/>
        <w:jc w:val="center"/>
        <w:textAlignment w:val="auto"/>
        <w:rPr>
          <w:rFonts w:ascii="黑体" w:eastAsia="黑体" w:hAnsi="黑体" w:cs="黑体"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第</w:t>
      </w:r>
      <w:r>
        <w:rPr>
          <w:rFonts w:ascii="黑体" w:eastAsia="黑体" w:hAnsi="黑体" w:cs="黑体"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黑体" w:eastAsia="黑体" w:hAnsi="黑体" w:cs="黑体"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instrText xml:space="preserve"> = 2 \* ROMAN </w:instrText>
      </w:r>
      <w:r>
        <w:rPr>
          <w:rFonts w:ascii="黑体" w:eastAsia="黑体" w:hAnsi="黑体" w:cs="黑体"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黑体" w:eastAsia="黑体" w:hAnsi="黑体" w:cs="黑体"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II</w:t>
      </w:r>
      <w:r>
        <w:rPr>
          <w:rFonts w:ascii="黑体" w:eastAsia="黑体" w:hAnsi="黑体" w:cs="黑体"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黑体" w:eastAsia="黑体" w:hAnsi="黑体" w:cs="黑体"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卷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16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阅读材料，回答问题。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center"/>
        <w:rPr>
          <w:rFonts w:ascii="楷体" w:eastAsia="楷体" w:hAnsi="楷体" w:cs="楷体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2020年10月26日至29日在北京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召开的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十九届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中全会审议通过了《中共中央关于制定国民经济和社会发展第十四个五年规划和二O三五年远景目标的建议》。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center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材料一：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五年规划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是我们党治国理政的重要方式，一部规划史，也是一部发展史。自1953年来，五年规划以其神奇的力量，诠释着中国制度和中国之治独特而巨大的魅力。辉煌的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十三五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收官在即。审时度势，我们已进入两个百年历史交汇期，民生保障不再是简单托底数、满足基本需求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同时，我们又处于要素资源稀缺争夺期、动能转换风险管理期、卡脖子高技术猛攻期……为此，需要出台符合新时代、迎接新挑战、实现新转变的新规划，为开启第二个百年奋斗目标新征程擘画蓝图。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center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1</w:t>
      </w:r>
      <w:r>
        <w:rPr>
          <w:rFonts w:eastAsia="宋体" w:cs="Times New Roman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-6"/>
          <w:sz w:val="21"/>
          <w14:textFill>
            <w14:solidFill>
              <w14:schemeClr w14:val="tx1"/>
            </w14:solidFill>
          </w14:textFill>
        </w:rPr>
        <w:t>请从《经济生活》角度，阐释为开启第二个百年奋斗目标新征程擘画蓝图的意义。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-6"/>
          <w:sz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-6"/>
          <w:sz w:val="21"/>
          <w:lang w:val="en-US" w:eastAsia="zh-CN"/>
          <w14:textFill>
            <w14:solidFill>
              <w14:schemeClr w14:val="tx1"/>
            </w14:solidFill>
          </w14:textFill>
        </w:rPr>
        <w:t>11分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pacing w:val="-6"/>
          <w:sz w:val="21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center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center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center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材料二：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细读公报，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人民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二字贯穿始终。十九届五中全会公报20多次提到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人民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，字里行间洋溢着浓浓的民生情怀。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改善人民生活品质，不断增强人民群众获得感、幸福感、安全感，促进人的全面发展和社会全面进步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”“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以满足人民日益增长的美好生活需要为根本目的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”“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坚持以人民为中心，坚持新发展理念，坚持深化改革开放，坚持系统观念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”“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改善人民生活品质，提高社会建设水平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ascii="宋体" w:eastAsia="宋体" w:hAnsi="宋体" w:cs="宋体" w:hint="eastAsia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……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增进民生福祉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”“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改善人民生活品质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将成为贯穿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十四五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时期的一条主线。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525" w:hanging="525" w:hangingChars="250"/>
        <w:jc w:val="left"/>
        <w:textAlignment w:val="center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结合材料，运用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政治生活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知识，分析为什么</w:t>
      </w:r>
      <w:r>
        <w:rPr>
          <w:rFonts w:eastAsia="宋体" w:cs="Times New Roman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人民</w:t>
      </w:r>
      <w:r>
        <w:rPr>
          <w:rFonts w:eastAsia="宋体" w:cs="Times New Roman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二字贯穿党的十九届五中全会公报始终。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>10分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center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center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center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center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center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材料三：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全会提出，坚持创新在我国现代化建设全局中的核心地位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把科技自立自强作为国家发展的战略支撑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科技自立自强与开放合作不是对立关系，而是辩证统一的。中国的科技创新从来都不是封闭式的创新，今后也不会关起门来自己搞创新，中国扩大科技开放合作的步伐将会越迈越大。面向未来，我们要充分发挥人民群众的力量，积极投身于发展中国特色社会主义的伟大实践，不断发展科技，提高国家文化软实力，促进满足人民文化需求和增强人民精神力量相统一，力争到2035年建成文化强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525" w:hanging="525" w:hangingChars="250"/>
        <w:jc w:val="left"/>
        <w:textAlignment w:val="center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结合材料，运用文化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>发展实质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>有关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知识，说明我国应如何在科技领域取得重大创新成果？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>9分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．（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12分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阅读材料，回答问题。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left"/>
        <w:textAlignment w:val="center"/>
        <w:rPr>
          <w:rFonts w:ascii="楷体" w:eastAsia="楷体" w:hAnsi="楷体" w:cs="楷体" w:hint="eastAsia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2020年11月24日，嫦娥五号探测器在中国文昌航天发射场发射成功。这是我国探月工程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绕、落、回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三步走中，第三步的首次任务。嫦娥五号将经历11个飞行阶段，20余天的在轨飞行过程，有望创造我国航天史上的5个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首次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。从立项到发射，嫦娥五号任务团队围绕诸多关键核心技术和难点，综合考虑轨道器、返回器、着陆器、上升器等组成与15个分系统经历了10年的艰辛奋战，联合参研单位集中最强阵容攻克难关，确保了嫦娥五号探测器方案设计合理，各项功能性能满足任务的要求。</w:t>
      </w:r>
      <w:r>
        <w:rPr>
          <w:rFonts w:ascii="楷体" w:eastAsia="楷体" w:hAnsi="楷体" w:cs="楷体"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这是几代航天人精诚团结、开拓创新、锐意进取，克服了巨大的艰辛和困难才取得的成就，真可谓来之不易。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结合上述材料，运用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唯物辩证法的总特征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的有关知识分析说明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嫦娥五号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成功发射的原因。（12分）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ascii="Times New Roman" w:eastAsia="宋体" w:hAnsi="Times New Roman" w:cs="Times New Roman"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分）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阅读材料，回答问题。</w:t>
      </w:r>
    </w:p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生态治理，道阻且长，行则将至。随着城市化进程加快，生活垃圾处理日益成为生态治理的重要议题。20世纪80年代以来，我国解决生活垃圾问题的政策大致经过了一个演进历程：</w:t>
      </w: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078"/>
        <w:gridCol w:w="1709"/>
        <w:gridCol w:w="4923"/>
      </w:tblGrid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/>
        </w:trPr>
        <w:tc>
          <w:tcPr>
            <w:tcW w:w="669" w:type="dxa"/>
            <w:noWrap w:val="0"/>
            <w:vAlign w:val="center"/>
          </w:tcPr>
          <w:p>
            <w:pPr>
              <w:pStyle w:val="NoSpacing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阶段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pStyle w:val="NoSpacing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突出问题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pStyle w:val="NoSpacing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具体做法</w:t>
            </w:r>
          </w:p>
        </w:tc>
        <w:tc>
          <w:tcPr>
            <w:tcW w:w="4923" w:type="dxa"/>
            <w:noWrap w:val="0"/>
            <w:vAlign w:val="center"/>
          </w:tcPr>
          <w:p>
            <w:pPr>
              <w:pStyle w:val="NoSpacing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890" w:firstLineChars="900"/>
              <w:jc w:val="both"/>
              <w:textAlignment w:val="auto"/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政策规划</w:t>
            </w: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/>
        </w:trPr>
        <w:tc>
          <w:tcPr>
            <w:tcW w:w="669" w:type="dxa"/>
            <w:noWrap w:val="0"/>
            <w:vAlign w:val="center"/>
          </w:tcPr>
          <w:p>
            <w:pPr>
              <w:pStyle w:val="NoSpacing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政策萌芽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pStyle w:val="NoSpacing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垃圾增长垃圾污染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pStyle w:val="NoSpacing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焚烧与填埋</w:t>
            </w:r>
          </w:p>
        </w:tc>
        <w:tc>
          <w:tcPr>
            <w:tcW w:w="4923" w:type="dxa"/>
            <w:noWrap w:val="0"/>
            <w:vAlign w:val="center"/>
          </w:tcPr>
          <w:p>
            <w:pPr>
              <w:pStyle w:val="NoSpacing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发布行政命令，制定专项法规，实行政府管制</w:t>
            </w:r>
          </w:p>
          <w:p>
            <w:pPr>
              <w:pStyle w:val="NoSpacing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《城市市容环境卫生管理条例（试行）》（1982年）、《城市生活垃圾管理办法》（1993年）等</w:t>
            </w: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/>
        </w:trPr>
        <w:tc>
          <w:tcPr>
            <w:tcW w:w="669" w:type="dxa"/>
            <w:noWrap w:val="0"/>
            <w:vAlign w:val="center"/>
          </w:tcPr>
          <w:p>
            <w:pPr>
              <w:pStyle w:val="NoSpacing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初步发展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pStyle w:val="NoSpacing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垃圾填埋安全隐患规划选址不合理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pStyle w:val="NoSpacing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提高垃圾处理技术和能力，完善市场监督</w:t>
            </w:r>
          </w:p>
        </w:tc>
        <w:tc>
          <w:tcPr>
            <w:tcW w:w="4923" w:type="dxa"/>
            <w:noWrap w:val="0"/>
            <w:vAlign w:val="center"/>
          </w:tcPr>
          <w:p>
            <w:pPr>
              <w:pStyle w:val="NoSpacing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纳入整体规划，出台法律法规，制定技术规范和行业标准，进行政策试点</w:t>
            </w:r>
          </w:p>
          <w:p>
            <w:pPr>
              <w:pStyle w:val="NoSpacing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《固体废物污染环境防治法）（简称《固废法》）（1995年）、城镇污染综合治理纳入《国民经济和社会发展第十个五年计划纲要》等</w:t>
            </w: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/>
        </w:trPr>
        <w:tc>
          <w:tcPr>
            <w:tcW w:w="669" w:type="dxa"/>
            <w:noWrap w:val="0"/>
            <w:vAlign w:val="center"/>
          </w:tcPr>
          <w:p>
            <w:pPr>
              <w:pStyle w:val="NoSpacing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转型调整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pStyle w:val="NoSpacing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无害化处理水平与垃圾增速不匹配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pStyle w:val="NoSpacing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垃圾处理产业化，鼓励社会资本参与，开展公众环保教育，扩大社会监督</w:t>
            </w:r>
          </w:p>
        </w:tc>
        <w:tc>
          <w:tcPr>
            <w:tcW w:w="4923" w:type="dxa"/>
            <w:noWrap w:val="0"/>
            <w:vAlign w:val="center"/>
          </w:tcPr>
          <w:p>
            <w:pPr>
              <w:pStyle w:val="NoSpacing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出台法律法规，实行政府采购、特许经营和市场准入，保障信息公开</w:t>
            </w:r>
          </w:p>
          <w:p>
            <w:pPr>
              <w:pStyle w:val="NoSpacing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《固废法》（2004年首次修订）、新版《城市生活垃圾管理办法》（2007年）等监督</w:t>
            </w:r>
          </w:p>
        </w:tc>
      </w:tr>
      <w:tr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/>
        </w:trPr>
        <w:tc>
          <w:tcPr>
            <w:tcW w:w="669" w:type="dxa"/>
            <w:noWrap w:val="0"/>
            <w:vAlign w:val="center"/>
          </w:tcPr>
          <w:p>
            <w:pPr>
              <w:pStyle w:val="NoSpacing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深化发展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pStyle w:val="NoSpacing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垃圾分类不到位、资源利用率低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pStyle w:val="NoSpacing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明确46个城市先行实施生活垃圾强制分类，调动社会团体和公众参与，鼓励志愿活动</w:t>
            </w:r>
          </w:p>
        </w:tc>
        <w:tc>
          <w:tcPr>
            <w:tcW w:w="4923" w:type="dxa"/>
            <w:noWrap w:val="0"/>
            <w:vAlign w:val="center"/>
          </w:tcPr>
          <w:p>
            <w:pPr>
              <w:pStyle w:val="NoSpacing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出台法律法规，开展环保督查，政策试点不断扩大，进行舆论宣传和教育引导，推行生活垃圾分类制度</w:t>
            </w:r>
          </w:p>
          <w:p>
            <w:pPr>
              <w:pStyle w:val="NoSpacing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《城市生活垃圾管理办法》（2015年修正）、北京和上海等地出台地方性生活垃圾管理条例，《固废法》（2020年修订）等</w:t>
            </w:r>
          </w:p>
        </w:tc>
      </w:tr>
    </w:tbl>
    <w:p>
      <w:pPr>
        <w:pStyle w:val="NoSpacing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line="300" w:lineRule="auto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结合材料，从哲学角度说明政策优化需要注意哪些方面。（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525" w:hanging="525" w:hangingChars="250"/>
        <w:jc w:val="both"/>
        <w:textAlignment w:val="auto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2020年12月1日，《天津市生活垃圾管理条例》正式施行。垃圾分类已作为天津市全体居民和企事业单位的</w:t>
      </w:r>
      <w:r>
        <w:rPr>
          <w:rFonts w:eastAsia="宋体" w:cs="Times New Roman" w:hint="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法定责任</w:t>
      </w:r>
      <w:r>
        <w:rPr>
          <w:rFonts w:cs="Times New Roman" w:hint="eastAsia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请为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>学校如何提高学生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垃圾分类</w:t>
      </w:r>
      <w:r>
        <w:rPr>
          <w:rFonts w:cs="Times New Roman" w:hint="eastAsia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>认</w:t>
      </w:r>
      <w:bookmarkStart w:id="0" w:name="_GoBack"/>
      <w:bookmarkEnd w:id="0"/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>识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提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>出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eastAsia="zh-CN"/>
          <w14:textFill>
            <w14:solidFill>
              <w14:schemeClr w14:val="tx1"/>
            </w14:solidFill>
          </w14:textFill>
        </w:rPr>
        <w:t>两条具体建议。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rPr>
          <w:rFonts w:ascii="Times New Roman" w:eastAsia="宋体" w:hAnsi="Times New Roman" w:cs="Times New Roman" w:hint="default"/>
          <w:b/>
          <w:bCs/>
          <w:color w:val="000000" w:themeColor="text1"/>
          <w:sz w:val="21"/>
          <w14:textFill>
            <w14:solidFill>
              <w14:schemeClr w14:val="tx1"/>
            </w14:solidFill>
          </w14:textFill>
        </w:rPr>
      </w:pPr>
    </w:p>
    <w:sectPr>
      <w:footerReference w:type="default" r:id="rId7"/>
      <w:pgSz w:w="10431" w:h="14740"/>
      <w:pgMar w:top="1134" w:right="1134" w:bottom="1134" w:left="1134" w:header="851" w:footer="992" w:gutter="0"/>
      <w:pgNumType w:fmt="decimal" w:start="1"/>
      <w:cols w:num="1" w:space="0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Footer"/>
                            <w:jc w:val="center"/>
                            <w:rPr>
                              <w:rFonts w:ascii="黑体" w:eastAsia="黑体" w:hAnsi="黑体" w:cs="黑体" w:hint="eastAsia"/>
                              <w:b/>
                              <w:bCs/>
                              <w:lang w:eastAsia="zh-CN"/>
                            </w:rPr>
                          </w:pPr>
                          <w:r>
                            <w:rPr>
                              <w:rFonts w:ascii="黑体" w:eastAsia="黑体" w:hAnsi="黑体" w:cs="黑体" w:hint="eastAsia"/>
                              <w:b/>
                              <w:bCs/>
                              <w:lang w:eastAsia="zh-CN"/>
                            </w:rPr>
                            <w:t>重点校期末联考高三政治</w:t>
                          </w:r>
                          <w:r>
                            <w:rPr>
                              <w:rFonts w:ascii="黑体" w:eastAsia="黑体" w:hAnsi="黑体" w:cs="黑体" w:hint="eastAsia"/>
                              <w:b/>
                              <w:bCs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ascii="黑体" w:eastAsia="黑体" w:hAnsi="黑体" w:cs="黑体" w:hint="eastAsia"/>
                              <w:b/>
                              <w:bCs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ascii="黑体" w:eastAsia="黑体" w:hAnsi="黑体" w:cs="黑体" w:hint="eastAsia"/>
                              <w:b/>
                              <w:bCs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黑体" w:eastAsia="黑体" w:hAnsi="黑体" w:cs="黑体" w:hint="eastAsia"/>
                              <w:b/>
                              <w:bCs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黑体" w:eastAsia="黑体" w:hAnsi="黑体" w:cs="黑体" w:hint="eastAsia"/>
                              <w:b/>
                              <w:bCs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黑体" w:eastAsia="黑体" w:hAnsi="黑体" w:cs="黑体" w:hint="eastAsia"/>
                              <w:b/>
                              <w:bCs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ascii="黑体" w:eastAsia="黑体" w:hAnsi="黑体" w:cs="黑体" w:hint="eastAsia"/>
                              <w:b/>
                              <w:bCs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黑体" w:eastAsia="黑体" w:hAnsi="黑体" w:cs="黑体" w:hint="eastAsia"/>
                              <w:b/>
                              <w:bCs/>
                              <w:lang w:eastAsia="zh-CN"/>
                            </w:rPr>
                            <w:t xml:space="preserve"> 页（共 </w:t>
                          </w:r>
                          <w:r>
                            <w:rPr>
                              <w:rFonts w:ascii="黑体" w:eastAsia="黑体" w:hAnsi="黑体" w:cs="黑体" w:hint="eastAsia"/>
                              <w:b/>
                              <w:bCs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黑体" w:eastAsia="黑体" w:hAnsi="黑体" w:cs="黑体" w:hint="eastAsia"/>
                              <w:b/>
                              <w:bCs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黑体" w:eastAsia="黑体" w:hAnsi="黑体" w:cs="黑体" w:hint="eastAsia"/>
                              <w:b/>
                              <w:bCs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黑体" w:eastAsia="黑体" w:hAnsi="黑体" w:cs="黑体" w:hint="eastAsia"/>
                              <w:b/>
                              <w:bCs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ascii="黑体" w:eastAsia="黑体" w:hAnsi="黑体" w:cs="黑体" w:hint="eastAsia"/>
                              <w:b/>
                              <w:bCs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黑体" w:eastAsia="黑体" w:hAnsi="黑体" w:cs="黑体" w:hint="eastAsia"/>
                              <w:b/>
                              <w:bCs/>
                              <w:lang w:eastAsia="zh-CN"/>
                            </w:rPr>
                            <w:t xml:space="preserve"> 页）</w:t>
                          </w:r>
                        </w:p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49" type="#_x0000_t202" style="width:2in;height:2in;margin-top:0;margin-left:0;mso-height-relative:page;mso-position-horizontal:center;mso-position-horizontal-relative:margin;mso-width-relative:page;mso-wrap-style:none;position:absolute;z-index:251659264" coordsize="21600,21600" filled="f" stroked="f">
              <o:lock v:ext="edit" aspectratio="f"/>
              <v:textbox style="mso-fit-shape-to-text:t" inset="0,0,0,0">
                <w:txbxContent>
                  <w:p>
                    <w:pPr>
                      <w:pStyle w:val="Footer"/>
                      <w:jc w:val="center"/>
                      <w:rPr>
                        <w:rFonts w:ascii="黑体" w:eastAsia="黑体" w:hAnsi="黑体" w:cs="黑体" w:hint="eastAsia"/>
                        <w:b/>
                        <w:bCs/>
                        <w:lang w:eastAsia="zh-CN"/>
                      </w:rPr>
                    </w:pPr>
                    <w:r>
                      <w:rPr>
                        <w:rFonts w:ascii="黑体" w:eastAsia="黑体" w:hAnsi="黑体" w:cs="黑体" w:hint="eastAsia"/>
                        <w:b/>
                        <w:bCs/>
                        <w:lang w:eastAsia="zh-CN"/>
                      </w:rPr>
                      <w:t>重点校期末联考高三政治</w:t>
                    </w:r>
                    <w:r>
                      <w:rPr>
                        <w:rFonts w:ascii="黑体" w:eastAsia="黑体" w:hAnsi="黑体" w:cs="黑体" w:hint="eastAsia"/>
                        <w:b/>
                        <w:bCs/>
                        <w:lang w:val="en-US" w:eastAsia="zh-CN"/>
                      </w:rPr>
                      <w:t xml:space="preserve">  </w:t>
                    </w:r>
                    <w:r>
                      <w:rPr>
                        <w:rFonts w:ascii="黑体" w:eastAsia="黑体" w:hAnsi="黑体" w:cs="黑体" w:hint="eastAsia"/>
                        <w:b/>
                        <w:bCs/>
                        <w:lang w:eastAsia="zh-CN"/>
                      </w:rPr>
                      <w:t xml:space="preserve">第 </w:t>
                    </w:r>
                    <w:r>
                      <w:rPr>
                        <w:rFonts w:ascii="黑体" w:eastAsia="黑体" w:hAnsi="黑体" w:cs="黑体" w:hint="eastAsia"/>
                        <w:b/>
                        <w:bCs/>
                        <w:lang w:eastAsia="zh-CN"/>
                      </w:rPr>
                      <w:fldChar w:fldCharType="begin"/>
                    </w:r>
                    <w:r>
                      <w:rPr>
                        <w:rFonts w:ascii="黑体" w:eastAsia="黑体" w:hAnsi="黑体" w:cs="黑体" w:hint="eastAsia"/>
                        <w:b/>
                        <w:bCs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黑体" w:eastAsia="黑体" w:hAnsi="黑体" w:cs="黑体" w:hint="eastAsia"/>
                        <w:b/>
                        <w:bCs/>
                        <w:lang w:eastAsia="zh-CN"/>
                      </w:rPr>
                      <w:fldChar w:fldCharType="separate"/>
                    </w:r>
                    <w:r>
                      <w:rPr>
                        <w:rFonts w:ascii="黑体" w:eastAsia="黑体" w:hAnsi="黑体" w:cs="黑体" w:hint="eastAsia"/>
                        <w:b/>
                        <w:bCs/>
                        <w:lang w:eastAsia="zh-CN"/>
                      </w:rPr>
                      <w:t>1</w:t>
                    </w:r>
                    <w:r>
                      <w:rPr>
                        <w:rFonts w:ascii="黑体" w:eastAsia="黑体" w:hAnsi="黑体" w:cs="黑体" w:hint="eastAsia"/>
                        <w:b/>
                        <w:bCs/>
                        <w:lang w:eastAsia="zh-CN"/>
                      </w:rPr>
                      <w:fldChar w:fldCharType="end"/>
                    </w:r>
                    <w:r>
                      <w:rPr>
                        <w:rFonts w:ascii="黑体" w:eastAsia="黑体" w:hAnsi="黑体" w:cs="黑体" w:hint="eastAsia"/>
                        <w:b/>
                        <w:bCs/>
                        <w:lang w:eastAsia="zh-CN"/>
                      </w:rPr>
                      <w:t xml:space="preserve"> 页（共 </w:t>
                    </w:r>
                    <w:r>
                      <w:rPr>
                        <w:rFonts w:ascii="黑体" w:eastAsia="黑体" w:hAnsi="黑体" w:cs="黑体" w:hint="eastAsia"/>
                        <w:b/>
                        <w:bCs/>
                        <w:lang w:eastAsia="zh-CN"/>
                      </w:rPr>
                      <w:fldChar w:fldCharType="begin"/>
                    </w:r>
                    <w:r>
                      <w:rPr>
                        <w:rFonts w:ascii="黑体" w:eastAsia="黑体" w:hAnsi="黑体" w:cs="黑体" w:hint="eastAsia"/>
                        <w:b/>
                        <w:bCs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ascii="黑体" w:eastAsia="黑体" w:hAnsi="黑体" w:cs="黑体" w:hint="eastAsia"/>
                        <w:b/>
                        <w:bCs/>
                        <w:lang w:eastAsia="zh-CN"/>
                      </w:rPr>
                      <w:fldChar w:fldCharType="separate"/>
                    </w:r>
                    <w:r>
                      <w:rPr>
                        <w:rFonts w:ascii="黑体" w:eastAsia="黑体" w:hAnsi="黑体" w:cs="黑体" w:hint="eastAsia"/>
                        <w:b/>
                        <w:bCs/>
                        <w:lang w:eastAsia="zh-CN"/>
                      </w:rPr>
                      <w:t>2</w:t>
                    </w:r>
                    <w:r>
                      <w:rPr>
                        <w:rFonts w:ascii="黑体" w:eastAsia="黑体" w:hAnsi="黑体" w:cs="黑体" w:hint="eastAsia"/>
                        <w:b/>
                        <w:bCs/>
                        <w:lang w:eastAsia="zh-CN"/>
                      </w:rPr>
                      <w:fldChar w:fldCharType="end"/>
                    </w:r>
                    <w:r>
                      <w:rPr>
                        <w:rFonts w:ascii="黑体" w:eastAsia="黑体" w:hAnsi="黑体" w:cs="黑体" w:hint="eastAsia"/>
                        <w:b/>
                        <w:bCs/>
                        <w:lang w:eastAsia="zh-CN"/>
                      </w:rPr>
                      <w:t xml:space="preserve"> 页）</w:t>
                    </w:r>
                  </w:p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bordersDoNotSurroundHeader/>
  <w:bordersDoNotSurroundFooter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45639B"/>
    <w:rsid w:val="01C46F6F"/>
    <w:rsid w:val="01D6487E"/>
    <w:rsid w:val="02CD5678"/>
    <w:rsid w:val="037617B5"/>
    <w:rsid w:val="03FD21B8"/>
    <w:rsid w:val="07876B97"/>
    <w:rsid w:val="08601994"/>
    <w:rsid w:val="0AC0436E"/>
    <w:rsid w:val="0AEE4110"/>
    <w:rsid w:val="0B424FEF"/>
    <w:rsid w:val="0BFA2C85"/>
    <w:rsid w:val="0C440754"/>
    <w:rsid w:val="0CBE5C35"/>
    <w:rsid w:val="0D485D52"/>
    <w:rsid w:val="0F786D13"/>
    <w:rsid w:val="0F7D5A22"/>
    <w:rsid w:val="0FDE2D2E"/>
    <w:rsid w:val="117748F1"/>
    <w:rsid w:val="11BE4FE1"/>
    <w:rsid w:val="12171A0F"/>
    <w:rsid w:val="18E47EF4"/>
    <w:rsid w:val="196241C7"/>
    <w:rsid w:val="1B0772A7"/>
    <w:rsid w:val="1B7E3A93"/>
    <w:rsid w:val="1C80053E"/>
    <w:rsid w:val="1D7C4839"/>
    <w:rsid w:val="1FFF0C82"/>
    <w:rsid w:val="21531F9C"/>
    <w:rsid w:val="223E32F8"/>
    <w:rsid w:val="26CC7237"/>
    <w:rsid w:val="2ACA45B2"/>
    <w:rsid w:val="2C5557C2"/>
    <w:rsid w:val="2E643C4E"/>
    <w:rsid w:val="2EC04AF4"/>
    <w:rsid w:val="31D444C3"/>
    <w:rsid w:val="31DE6578"/>
    <w:rsid w:val="34C5488E"/>
    <w:rsid w:val="356B6A55"/>
    <w:rsid w:val="390E44F3"/>
    <w:rsid w:val="396F3060"/>
    <w:rsid w:val="3A3043CF"/>
    <w:rsid w:val="3B6E1CE8"/>
    <w:rsid w:val="3C125DA8"/>
    <w:rsid w:val="3C352360"/>
    <w:rsid w:val="40F00B7D"/>
    <w:rsid w:val="411A4B90"/>
    <w:rsid w:val="42D40A2E"/>
    <w:rsid w:val="45641C15"/>
    <w:rsid w:val="47BE0906"/>
    <w:rsid w:val="48F20946"/>
    <w:rsid w:val="494E4EEB"/>
    <w:rsid w:val="4A794499"/>
    <w:rsid w:val="4AAB0710"/>
    <w:rsid w:val="4C45639B"/>
    <w:rsid w:val="4CA239EB"/>
    <w:rsid w:val="4D215BF2"/>
    <w:rsid w:val="4D5530E1"/>
    <w:rsid w:val="4FC15D18"/>
    <w:rsid w:val="50B30987"/>
    <w:rsid w:val="51B33300"/>
    <w:rsid w:val="522323B3"/>
    <w:rsid w:val="529F6CE7"/>
    <w:rsid w:val="538E7D0E"/>
    <w:rsid w:val="54745C3F"/>
    <w:rsid w:val="54C41731"/>
    <w:rsid w:val="57437229"/>
    <w:rsid w:val="57C9675F"/>
    <w:rsid w:val="597E0CA6"/>
    <w:rsid w:val="5A157C63"/>
    <w:rsid w:val="5DB55B20"/>
    <w:rsid w:val="5F8E1BCB"/>
    <w:rsid w:val="60177F42"/>
    <w:rsid w:val="603346C3"/>
    <w:rsid w:val="60335154"/>
    <w:rsid w:val="60435618"/>
    <w:rsid w:val="62B7218D"/>
    <w:rsid w:val="65F9471B"/>
    <w:rsid w:val="677419EC"/>
    <w:rsid w:val="6ABD1768"/>
    <w:rsid w:val="6B845B06"/>
    <w:rsid w:val="6D59633A"/>
    <w:rsid w:val="6D8C422A"/>
    <w:rsid w:val="6F11196B"/>
    <w:rsid w:val="70794F84"/>
    <w:rsid w:val="711330B8"/>
    <w:rsid w:val="71FD3E50"/>
    <w:rsid w:val="72ED29B4"/>
    <w:rsid w:val="73420573"/>
    <w:rsid w:val="7511004E"/>
    <w:rsid w:val="75523F0A"/>
    <w:rsid w:val="75DF5F46"/>
    <w:rsid w:val="773362B2"/>
    <w:rsid w:val="7C9C3FA4"/>
    <w:rsid w:val="7CC40C23"/>
    <w:rsid w:val="7DDC44FC"/>
    <w:rsid w:val="7ED941C2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qFormat="1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uiPriority w:val="99"/>
    <w:unhideWhenUsed/>
    <w:qFormat/>
    <w:pPr>
      <w:spacing w:after="120" w:line="276" w:lineRule="auto"/>
    </w:pPr>
    <w:rPr>
      <w:szCs w:val="21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NoSpacing">
    <w:name w:val="No Spacing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1</cp:revision>
  <dcterms:created xsi:type="dcterms:W3CDTF">2020-12-15T01:59:00Z</dcterms:created>
  <dcterms:modified xsi:type="dcterms:W3CDTF">2020-12-22T07:05:01Z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