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pPr>
        <w:pStyle w:val="Normal0"/>
        <w:spacing w:after="0" w:line="276" w:lineRule="auto"/>
        <w:jc w:val="center"/>
        <w:rPr>
          <w:rFonts w:ascii="Times New Roman" w:eastAsia="宋体" w:hAnsi="Arial" w:hint="eastAsia"/>
          <w:b/>
          <w:kern w:val="2"/>
          <w:sz w:val="44"/>
          <w:szCs w:val="44"/>
        </w:rPr>
      </w:pPr>
      <w:r>
        <w:rPr>
          <w:rFonts w:ascii="Times New Roman" w:eastAsia="宋体" w:hAnsi="Arial" w:hint="eastAsia"/>
          <w:b/>
          <w:kern w:val="2"/>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5" type="#_x0000_t75" style="width:21pt;height:33pt;margin-top:933pt;margin-left:815pt;mso-position-horizontal-relative:page;mso-position-vertical-relative:page;mso-wrap-style:square;position:absolute;z-index:251658240" o:preferrelative="t" filled="f" stroked="f">
            <v:fill o:detectmouseclick="t"/>
            <v:stroke linestyle="single"/>
            <v:imagedata r:id="rId4" o:title=""/>
            <v:path o:extrusionok="f"/>
            <o:lock v:ext="edit" aspectratio="t"/>
          </v:shape>
        </w:pict>
      </w:r>
      <w:r>
        <w:rPr>
          <w:rFonts w:ascii="Times New Roman" w:eastAsia="宋体" w:hAnsi="Arial" w:hint="eastAsia"/>
          <w:b/>
          <w:kern w:val="2"/>
          <w:sz w:val="44"/>
          <w:szCs w:val="44"/>
        </w:rPr>
        <w:t>麻城二中20</w:t>
      </w:r>
      <w:r>
        <w:rPr>
          <w:rFonts w:ascii="Times New Roman" w:eastAsia="宋体" w:hAnsi="Arial" w:hint="eastAsia"/>
          <w:b/>
          <w:kern w:val="2"/>
          <w:sz w:val="44"/>
          <w:szCs w:val="44"/>
          <w:lang w:val="en-US" w:eastAsia="zh-CN"/>
        </w:rPr>
        <w:t>20</w:t>
      </w:r>
      <w:r>
        <w:rPr>
          <w:rFonts w:ascii="Times New Roman" w:eastAsia="宋体" w:hAnsi="Arial" w:hint="eastAsia"/>
          <w:b/>
          <w:kern w:val="2"/>
          <w:sz w:val="44"/>
          <w:szCs w:val="44"/>
        </w:rPr>
        <w:t>年秋高二期中考试</w:t>
      </w:r>
    </w:p>
    <w:p>
      <w:pPr>
        <w:pStyle w:val="Normal0"/>
        <w:spacing w:after="0" w:line="276" w:lineRule="auto"/>
        <w:jc w:val="center"/>
        <w:rPr>
          <w:rFonts w:ascii="黑体" w:eastAsia="黑体" w:hAnsi="黑体" w:hint="eastAsia"/>
          <w:b/>
          <w:kern w:val="2"/>
          <w:sz w:val="32"/>
          <w:szCs w:val="32"/>
        </w:rPr>
      </w:pPr>
      <w:r>
        <w:rPr>
          <w:rFonts w:ascii="黑体" w:eastAsia="黑体" w:hAnsi="黑体" w:hint="eastAsia"/>
          <w:b/>
          <w:kern w:val="2"/>
          <w:sz w:val="32"/>
          <w:szCs w:val="32"/>
          <w:lang w:val="en-US" w:eastAsia="zh-CN"/>
        </w:rPr>
        <w:t>生 物</w:t>
      </w:r>
      <w:r>
        <w:rPr>
          <w:rFonts w:ascii="黑体" w:eastAsia="黑体" w:hAnsi="黑体" w:hint="eastAsia"/>
          <w:b/>
          <w:kern w:val="2"/>
          <w:sz w:val="32"/>
          <w:szCs w:val="32"/>
        </w:rPr>
        <w:t xml:space="preserve"> 试 题</w:t>
      </w:r>
    </w:p>
    <w:p>
      <w:pPr>
        <w:pStyle w:val="Normal0"/>
        <w:spacing w:after="0" w:line="276" w:lineRule="auto"/>
        <w:ind w:firstLine="103" w:firstLineChars="49"/>
        <w:jc w:val="center"/>
        <w:rPr>
          <w:b/>
          <w:bCs/>
          <w:sz w:val="28"/>
          <w:szCs w:val="28"/>
        </w:rPr>
      </w:pPr>
      <w:r>
        <w:rPr>
          <w:rFonts w:ascii="楷体" w:eastAsia="楷体" w:hAnsi="楷体" w:hint="eastAsia"/>
          <w:b/>
          <w:kern w:val="2"/>
          <w:sz w:val="21"/>
          <w:szCs w:val="21"/>
        </w:rPr>
        <w:t>考时：</w:t>
      </w:r>
      <w:r>
        <w:rPr>
          <w:rFonts w:ascii="楷体" w:eastAsia="楷体" w:hAnsi="楷体" w:hint="eastAsia"/>
          <w:b/>
          <w:kern w:val="2"/>
          <w:sz w:val="21"/>
          <w:szCs w:val="21"/>
          <w:lang w:val="en-US" w:eastAsia="zh-CN"/>
        </w:rPr>
        <w:t>90</w:t>
      </w:r>
      <w:r>
        <w:rPr>
          <w:rFonts w:ascii="楷体" w:eastAsia="楷体" w:hAnsi="楷体" w:hint="eastAsia"/>
          <w:b/>
          <w:kern w:val="2"/>
          <w:sz w:val="21"/>
          <w:szCs w:val="21"/>
        </w:rPr>
        <w:t>分钟  分值：1</w:t>
      </w:r>
      <w:r>
        <w:rPr>
          <w:rFonts w:ascii="楷体" w:eastAsia="楷体" w:hAnsi="楷体" w:hint="eastAsia"/>
          <w:b/>
          <w:kern w:val="2"/>
          <w:sz w:val="21"/>
          <w:szCs w:val="21"/>
          <w:lang w:val="en-US" w:eastAsia="zh-CN"/>
        </w:rPr>
        <w:t>0</w:t>
      </w:r>
      <w:r>
        <w:rPr>
          <w:rFonts w:ascii="楷体" w:eastAsia="楷体" w:hAnsi="楷体" w:hint="eastAsia"/>
          <w:b/>
          <w:kern w:val="2"/>
          <w:sz w:val="21"/>
          <w:szCs w:val="21"/>
        </w:rPr>
        <w:t>0分</w:t>
      </w:r>
    </w:p>
    <w:p>
      <w:pPr>
        <w:spacing w:before="100" w:beforeAutospacing="1" w:after="100" w:afterAutospacing="1" w:line="360" w:lineRule="exact"/>
        <w:jc w:val="center"/>
        <w:rPr>
          <w:rFonts w:hint="eastAsia"/>
          <w:b/>
          <w:bCs/>
          <w:sz w:val="30"/>
          <w:szCs w:val="30"/>
        </w:rPr>
      </w:pPr>
      <w:r>
        <w:rPr>
          <w:rFonts w:hint="eastAsia"/>
          <w:b/>
          <w:bCs/>
          <w:sz w:val="30"/>
          <w:szCs w:val="30"/>
        </w:rPr>
        <w:t>第I卷 (选择题</w:t>
      </w:r>
      <w:r>
        <w:rPr>
          <w:b/>
          <w:bCs/>
          <w:sz w:val="30"/>
          <w:szCs w:val="30"/>
        </w:rPr>
        <w:t xml:space="preserve"> </w:t>
      </w:r>
      <w:r>
        <w:rPr>
          <w:rFonts w:hint="eastAsia"/>
          <w:b/>
          <w:bCs/>
          <w:sz w:val="30"/>
          <w:szCs w:val="30"/>
        </w:rPr>
        <w:t>共60分)</w:t>
      </w:r>
    </w:p>
    <w:p>
      <w:pPr>
        <w:numPr>
          <w:ilvl w:val="0"/>
          <w:numId w:val="1"/>
        </w:numPr>
        <w:ind w:left="0" w:firstLine="0"/>
        <w:rPr>
          <w:rFonts w:hint="eastAsia"/>
          <w:b/>
          <w:sz w:val="24"/>
          <w:szCs w:val="28"/>
        </w:rPr>
      </w:pPr>
      <w:r>
        <w:rPr>
          <w:b/>
          <w:sz w:val="24"/>
          <w:szCs w:val="28"/>
        </w:rPr>
        <w:t>选择题（</w:t>
      </w:r>
      <w:r>
        <w:rPr>
          <w:rFonts w:hint="eastAsia"/>
          <w:b/>
          <w:sz w:val="24"/>
          <w:szCs w:val="28"/>
        </w:rPr>
        <w:t>请把每小题的答案写在答题卡上。每小题2分，共30题60分</w:t>
      </w:r>
      <w:r>
        <w:rPr>
          <w:b/>
          <w:sz w:val="24"/>
          <w:szCs w:val="28"/>
        </w:rPr>
        <w:t>）</w:t>
      </w:r>
    </w:p>
    <w:p>
      <w:pPr>
        <w:pStyle w:val="DefaultParagraph"/>
        <w:rPr>
          <w:b/>
          <w:szCs w:val="21"/>
        </w:rPr>
      </w:pPr>
      <w:r>
        <w:rPr>
          <w:b/>
          <w:szCs w:val="21"/>
        </w:rPr>
        <w:t>1．如图是人体细胞与内环境进行物质交换示意图，①处的箭头表示血液流动方向．下列相关叙述不正确的是（　　）</w:t>
      </w:r>
    </w:p>
    <w:p>
      <w:pPr>
        <w:pStyle w:val="DefaultParagraph"/>
        <w:rPr>
          <w:b/>
          <w:szCs w:val="21"/>
        </w:rPr>
      </w:pPr>
      <w:r>
        <w:rPr>
          <w:b/>
          <w:szCs w:val="21"/>
        </w:rPr>
        <w:pict>
          <v:shape id="Picture24" o:spid="_x0000_i1026" type="#_x0000_t75" style="width:185.3pt;height:121.4pt;mso-position-horizontal-relative:page;mso-position-vertical-relative:page;mso-wrap-style:square" filled="f" stroked="f">
            <v:stroke linestyle="single"/>
            <v:imagedata r:id="rId5" o:title=""/>
            <v:path o:extrusionok="f"/>
            <o:lock v:ext="edit" aspectratio="t"/>
          </v:shape>
        </w:pict>
      </w:r>
    </w:p>
    <w:tbl>
      <w:tblPr>
        <w:tblStyle w:val="TableNormal"/>
        <w:tblW w:w="5006"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9"/>
        <w:gridCol w:w="350"/>
        <w:gridCol w:w="8106"/>
      </w:tblGrid>
      <w:tr>
        <w:tblPrEx>
          <w:tblW w:w="5006"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0" w:type="dxa"/>
          </w:tcPr>
          <w:p>
            <w:pPr>
              <w:pStyle w:val="DefaultParagraph"/>
              <w:rPr>
                <w:b/>
                <w:szCs w:val="21"/>
              </w:rPr>
            </w:pPr>
            <w:r>
              <w:rPr>
                <w:b/>
                <w:szCs w:val="21"/>
              </w:rPr>
              <w:t>　</w:t>
            </w:r>
          </w:p>
        </w:tc>
        <w:tc>
          <w:tcPr>
            <w:tcW w:w="364" w:type="dxa"/>
          </w:tcPr>
          <w:p>
            <w:pPr>
              <w:pStyle w:val="DefaultParagraph"/>
              <w:rPr>
                <w:b/>
                <w:szCs w:val="21"/>
              </w:rPr>
            </w:pPr>
            <w:r>
              <w:rPr>
                <w:b/>
                <w:szCs w:val="21"/>
              </w:rPr>
              <w:t>A．</w:t>
            </w:r>
          </w:p>
        </w:tc>
        <w:tc>
          <w:tcPr>
            <w:tcW w:w="8939" w:type="dxa"/>
          </w:tcPr>
          <w:p>
            <w:pPr>
              <w:pStyle w:val="DefaultParagraph"/>
              <w:rPr>
                <w:b/>
                <w:szCs w:val="21"/>
              </w:rPr>
            </w:pPr>
            <w:r>
              <w:rPr>
                <w:b/>
                <w:szCs w:val="21"/>
              </w:rPr>
              <w:t>抽取④或⑤液体可检测出人体内产生的各种激素的含量</w:t>
            </w:r>
          </w:p>
        </w:tc>
      </w:tr>
      <w:tr>
        <w:tblPrEx>
          <w:tblW w:w="5006" w:type="pct"/>
          <w:tblInd w:w="-1" w:type="dxa"/>
          <w:tblCellMar>
            <w:top w:w="0" w:type="dxa"/>
            <w:left w:w="0" w:type="dxa"/>
            <w:bottom w:w="0" w:type="dxa"/>
            <w:right w:w="0" w:type="dxa"/>
          </w:tblCellMar>
          <w:tblLook w:val="0000"/>
        </w:tblPrEx>
        <w:tc>
          <w:tcPr>
            <w:tcW w:w="20" w:type="dxa"/>
          </w:tcPr>
          <w:p>
            <w:pPr>
              <w:pStyle w:val="DefaultParagraph"/>
              <w:rPr>
                <w:b/>
                <w:szCs w:val="21"/>
              </w:rPr>
            </w:pPr>
            <w:r>
              <w:rPr>
                <w:b/>
                <w:szCs w:val="21"/>
              </w:rPr>
              <w:t>　</w:t>
            </w:r>
          </w:p>
        </w:tc>
        <w:tc>
          <w:tcPr>
            <w:tcW w:w="364" w:type="dxa"/>
          </w:tcPr>
          <w:p>
            <w:pPr>
              <w:pStyle w:val="DefaultParagraph"/>
              <w:rPr>
                <w:b/>
                <w:szCs w:val="21"/>
              </w:rPr>
            </w:pPr>
            <w:r>
              <w:rPr>
                <w:b/>
                <w:szCs w:val="21"/>
              </w:rPr>
              <w:t>B．</w:t>
            </w:r>
          </w:p>
        </w:tc>
        <w:tc>
          <w:tcPr>
            <w:tcW w:w="8939" w:type="dxa"/>
          </w:tcPr>
          <w:p>
            <w:pPr>
              <w:pStyle w:val="DefaultParagraph"/>
              <w:rPr>
                <w:b/>
                <w:szCs w:val="21"/>
              </w:rPr>
            </w:pPr>
            <w:r>
              <w:rPr>
                <w:b/>
                <w:szCs w:val="21"/>
              </w:rPr>
              <w:t>当⑤处的渗透压升高，则会引起抗利尿激素释放增加</w:t>
            </w:r>
          </w:p>
        </w:tc>
      </w:tr>
      <w:tr>
        <w:tblPrEx>
          <w:tblW w:w="5006" w:type="pct"/>
          <w:tblInd w:w="-1" w:type="dxa"/>
          <w:tblCellMar>
            <w:top w:w="0" w:type="dxa"/>
            <w:left w:w="0" w:type="dxa"/>
            <w:bottom w:w="0" w:type="dxa"/>
            <w:right w:w="0" w:type="dxa"/>
          </w:tblCellMar>
          <w:tblLook w:val="0000"/>
        </w:tblPrEx>
        <w:tc>
          <w:tcPr>
            <w:tcW w:w="20" w:type="dxa"/>
          </w:tcPr>
          <w:p>
            <w:pPr>
              <w:pStyle w:val="DefaultParagraph"/>
              <w:rPr>
                <w:b/>
                <w:szCs w:val="21"/>
              </w:rPr>
            </w:pPr>
            <w:r>
              <w:rPr>
                <w:b/>
                <w:szCs w:val="21"/>
              </w:rPr>
              <w:t>　</w:t>
            </w:r>
          </w:p>
        </w:tc>
        <w:tc>
          <w:tcPr>
            <w:tcW w:w="364" w:type="dxa"/>
          </w:tcPr>
          <w:p>
            <w:pPr>
              <w:pStyle w:val="DefaultParagraph"/>
              <w:rPr>
                <w:b/>
                <w:szCs w:val="21"/>
              </w:rPr>
            </w:pPr>
            <w:r>
              <w:rPr>
                <w:b/>
                <w:szCs w:val="21"/>
              </w:rPr>
              <w:t>C．</w:t>
            </w:r>
          </w:p>
        </w:tc>
        <w:tc>
          <w:tcPr>
            <w:tcW w:w="8939" w:type="dxa"/>
          </w:tcPr>
          <w:p>
            <w:pPr>
              <w:pStyle w:val="DefaultParagraph"/>
              <w:rPr>
                <w:b/>
                <w:szCs w:val="21"/>
              </w:rPr>
            </w:pPr>
            <w:r>
              <w:rPr>
                <w:b/>
                <w:szCs w:val="21"/>
              </w:rPr>
              <w:t>参与免疫的淋巴细胞可分布于③和⑤处，而抗体只能分布于⑤处</w:t>
            </w:r>
          </w:p>
        </w:tc>
      </w:tr>
      <w:tr>
        <w:tblPrEx>
          <w:tblW w:w="5006" w:type="pct"/>
          <w:tblInd w:w="-1" w:type="dxa"/>
          <w:tblCellMar>
            <w:top w:w="0" w:type="dxa"/>
            <w:left w:w="0" w:type="dxa"/>
            <w:bottom w:w="0" w:type="dxa"/>
            <w:right w:w="0" w:type="dxa"/>
          </w:tblCellMar>
          <w:tblLook w:val="0000"/>
        </w:tblPrEx>
        <w:tc>
          <w:tcPr>
            <w:tcW w:w="20" w:type="dxa"/>
          </w:tcPr>
          <w:p>
            <w:pPr>
              <w:pStyle w:val="DefaultParagraph"/>
              <w:rPr>
                <w:b/>
                <w:szCs w:val="21"/>
              </w:rPr>
            </w:pPr>
            <w:r>
              <w:rPr>
                <w:b/>
                <w:szCs w:val="21"/>
              </w:rPr>
              <w:t>　</w:t>
            </w:r>
          </w:p>
        </w:tc>
        <w:tc>
          <w:tcPr>
            <w:tcW w:w="364" w:type="dxa"/>
          </w:tcPr>
          <w:p>
            <w:pPr>
              <w:pStyle w:val="DefaultParagraph"/>
              <w:rPr>
                <w:b/>
                <w:szCs w:val="21"/>
              </w:rPr>
            </w:pPr>
            <w:r>
              <w:rPr>
                <w:b/>
                <w:szCs w:val="21"/>
              </w:rPr>
              <w:t>D．</w:t>
            </w:r>
          </w:p>
        </w:tc>
        <w:tc>
          <w:tcPr>
            <w:tcW w:w="8939" w:type="dxa"/>
          </w:tcPr>
          <w:p>
            <w:pPr>
              <w:pStyle w:val="DefaultParagraph"/>
              <w:rPr>
                <w:b/>
                <w:szCs w:val="21"/>
              </w:rPr>
            </w:pPr>
            <w:r>
              <w:rPr>
                <w:b/>
                <w:szCs w:val="21"/>
              </w:rPr>
              <w:t>②处是细胞代谢的主要场所，该细胞的内环境是组织液</w:t>
            </w:r>
          </w:p>
        </w:tc>
      </w:tr>
    </w:tbl>
    <w:p>
      <w:pPr>
        <w:pStyle w:val="DefaultParagraph"/>
        <w:rPr>
          <w:b/>
          <w:szCs w:val="21"/>
        </w:rPr>
      </w:pPr>
      <w:r>
        <w:rPr>
          <w:b/>
          <w:szCs w:val="21"/>
        </w:rPr>
        <w:t>2．下列各组化合物中，全是内环境成分的一组是（　　）</w: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4009"/>
        <w:gridCol w:w="217"/>
        <w:gridCol w:w="4010"/>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2400" w:type="pct"/>
          </w:tcPr>
          <w:p>
            <w:pPr>
              <w:pStyle w:val="DefaultParagraph"/>
              <w:rPr>
                <w:b/>
                <w:szCs w:val="21"/>
              </w:rPr>
            </w:pPr>
            <w:r>
              <w:rPr>
                <w:b/>
                <w:szCs w:val="21"/>
              </w:rPr>
              <w:t>CO</w:t>
            </w:r>
            <w:r>
              <w:rPr>
                <w:b/>
                <w:szCs w:val="21"/>
                <w:vertAlign w:val="subscript"/>
              </w:rPr>
              <w:t>2</w:t>
            </w:r>
            <w:r>
              <w:rPr>
                <w:b/>
                <w:szCs w:val="21"/>
              </w:rPr>
              <w:t>、血红蛋白、H</w:t>
            </w:r>
            <w:r>
              <w:rPr>
                <w:b/>
                <w:szCs w:val="21"/>
                <w:vertAlign w:val="superscript"/>
              </w:rPr>
              <w:t>+</w:t>
            </w:r>
            <w:r>
              <w:rPr>
                <w:b/>
                <w:szCs w:val="21"/>
              </w:rPr>
              <w:t>、尿素</w:t>
            </w:r>
          </w:p>
        </w:tc>
        <w:tc>
          <w:tcPr>
            <w:tcW w:w="330" w:type="dxa"/>
          </w:tcPr>
          <w:p>
            <w:pPr>
              <w:pStyle w:val="DefaultParagraph"/>
              <w:rPr>
                <w:b/>
                <w:szCs w:val="21"/>
              </w:rPr>
            </w:pPr>
            <w:r>
              <w:rPr>
                <w:b/>
                <w:szCs w:val="21"/>
              </w:rPr>
              <w:t>B．</w:t>
            </w:r>
          </w:p>
        </w:tc>
        <w:tc>
          <w:tcPr>
            <w:tcW w:w="2400" w:type="pct"/>
          </w:tcPr>
          <w:p>
            <w:pPr>
              <w:pStyle w:val="DefaultParagraph"/>
              <w:rPr>
                <w:b/>
                <w:szCs w:val="21"/>
              </w:rPr>
            </w:pPr>
            <w:r>
              <w:rPr>
                <w:b/>
                <w:szCs w:val="21"/>
              </w:rPr>
              <w:t>呼吸氧化酶、抗体、激素、H</w:t>
            </w:r>
            <w:r>
              <w:rPr>
                <w:b/>
                <w:szCs w:val="21"/>
                <w:vertAlign w:val="subscript"/>
              </w:rPr>
              <w:t>2</w:t>
            </w:r>
            <w:r>
              <w:rPr>
                <w:b/>
                <w:szCs w:val="21"/>
              </w:rPr>
              <w:t>O</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2400" w:type="pct"/>
          </w:tcPr>
          <w:p>
            <w:pPr>
              <w:pStyle w:val="DefaultParagraph"/>
              <w:rPr>
                <w:b/>
                <w:szCs w:val="21"/>
              </w:rPr>
            </w:pPr>
            <w:r>
              <w:rPr>
                <w:b/>
                <w:szCs w:val="21"/>
              </w:rPr>
              <w:t>Na</w:t>
            </w:r>
            <w:r>
              <w:rPr>
                <w:b/>
                <w:szCs w:val="21"/>
                <w:vertAlign w:val="superscript"/>
              </w:rPr>
              <w:t>+</w:t>
            </w:r>
            <w:r>
              <w:rPr>
                <w:b/>
                <w:szCs w:val="21"/>
              </w:rPr>
              <w:t>、O</w:t>
            </w:r>
            <w:r>
              <w:rPr>
                <w:b/>
                <w:szCs w:val="21"/>
                <w:vertAlign w:val="subscript"/>
              </w:rPr>
              <w:t>2</w:t>
            </w:r>
            <w:r>
              <w:rPr>
                <w:b/>
                <w:szCs w:val="21"/>
              </w:rPr>
              <w:t>、葡萄糖、血浆蛋白</w:t>
            </w:r>
          </w:p>
        </w:tc>
        <w:tc>
          <w:tcPr>
            <w:tcW w:w="330" w:type="dxa"/>
          </w:tcPr>
          <w:p>
            <w:pPr>
              <w:pStyle w:val="DefaultParagraph"/>
              <w:rPr>
                <w:b/>
                <w:szCs w:val="21"/>
              </w:rPr>
            </w:pPr>
            <w:r>
              <w:rPr>
                <w:b/>
                <w:szCs w:val="21"/>
              </w:rPr>
              <w:t>D．</w:t>
            </w:r>
          </w:p>
        </w:tc>
        <w:tc>
          <w:tcPr>
            <w:tcW w:w="2400" w:type="pct"/>
          </w:tcPr>
          <w:p>
            <w:pPr>
              <w:pStyle w:val="DefaultParagraph"/>
              <w:rPr>
                <w:b/>
                <w:szCs w:val="21"/>
              </w:rPr>
            </w:pPr>
            <w:r>
              <w:rPr>
                <w:b/>
                <w:szCs w:val="21"/>
              </w:rPr>
              <w:t>Ca</w:t>
            </w:r>
            <w:r>
              <w:rPr>
                <w:b/>
                <w:szCs w:val="21"/>
                <w:vertAlign w:val="superscript"/>
              </w:rPr>
              <w:t>2+</w:t>
            </w:r>
            <w:r>
              <w:rPr>
                <w:b/>
                <w:szCs w:val="21"/>
              </w:rPr>
              <w:t>、载体、氨基酸</w:t>
            </w:r>
          </w:p>
        </w:tc>
      </w:tr>
    </w:tbl>
    <w:p>
      <w:pPr>
        <w:pStyle w:val="DefaultParagraph"/>
        <w:rPr>
          <w:b/>
          <w:szCs w:val="21"/>
        </w:rPr>
      </w:pPr>
      <w:r>
        <w:rPr>
          <w:b/>
          <w:szCs w:val="21"/>
        </w:rPr>
        <w:t>3．下列关于生命系统的稳态及调节的叙述正确的是（　　）</w: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稳态是机体在神经系统调节下，通过各器官、系统的协调活动来共同维持的</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垂体分泌的促甲状腺激素，通过体液定向运送到甲状腺</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激素和酶发挥作用后很快就会1．如图是人体细胞与内环境进行物质交换示意图，①处的箭头表示血液流动方向．下列相被灭活，有助于机体维持内环境的稳态</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当罗非鱼由淡水进入咸水，机体内释放抗利尿激素会增加</w:t>
            </w:r>
          </w:p>
        </w:tc>
      </w:tr>
    </w:tbl>
    <w:p>
      <w:pPr>
        <w:pStyle w:val="DefaultParagraph"/>
        <w:rPr>
          <w:b/>
          <w:szCs w:val="21"/>
        </w:rPr>
      </w:pPr>
      <w:r>
        <w:rPr>
          <w:b/>
          <w:szCs w:val="21"/>
        </w:rPr>
        <w:t>4．如图所示，A表示某人剧烈运动2分钟理论所需的氧量，B表示运动及恢复过程的氧耗量．据图分析不正确的是（　　）</w:t>
      </w:r>
    </w:p>
    <w:p>
      <w:pPr>
        <w:pStyle w:val="DefaultParagraph"/>
        <w:rPr>
          <w:b/>
          <w:szCs w:val="21"/>
        </w:rPr>
      </w:pPr>
      <w:r>
        <w:rPr>
          <w:b/>
          <w:szCs w:val="21"/>
        </w:rPr>
        <w:pict>
          <v:shape id="Picture24" o:spid="_x0000_i1027" type="#_x0000_t75" style="width:176.07pt;height:108.75pt;mso-position-horizontal-relative:page;mso-position-vertical-relative:page;mso-wrap-style:square" filled="f" stroked="f">
            <v:stroke linestyle="single"/>
            <v:imagedata r:id="rId6" o:title=""/>
            <v:path o:extrusionok="f"/>
            <o:lock v:ext="edit" aspectratio="t"/>
          </v:shape>
        </w:pic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剧烈运动过程需氧量高说明剧烈运动耗能多，有氧呼吸产能多</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在运动过程中血浆中乳酸的含量会增加，原因是肌细胞进行了无氧呼吸，在图中可通过2分钟内实际供氧量少于理论需氧量来说明</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剧烈运动过程中有一半C</w:t>
            </w:r>
            <w:r>
              <w:rPr>
                <w:b/>
                <w:szCs w:val="21"/>
                <w:vertAlign w:val="subscript"/>
              </w:rPr>
              <w:t>6</w:t>
            </w:r>
            <w:r>
              <w:rPr>
                <w:b/>
                <w:szCs w:val="21"/>
              </w:rPr>
              <w:t>H</w:t>
            </w:r>
            <w:r>
              <w:rPr>
                <w:b/>
                <w:szCs w:val="21"/>
                <w:vertAlign w:val="subscript"/>
              </w:rPr>
              <w:t>12</w:t>
            </w:r>
            <w:r>
              <w:rPr>
                <w:b/>
                <w:szCs w:val="21"/>
              </w:rPr>
              <w:t>O</w:t>
            </w:r>
            <w:r>
              <w:rPr>
                <w:b/>
                <w:szCs w:val="21"/>
                <w:vertAlign w:val="subscript"/>
              </w:rPr>
              <w:t>6</w:t>
            </w:r>
            <w:r>
              <w:rPr>
                <w:b/>
                <w:szCs w:val="21"/>
              </w:rPr>
              <w:t>发生以下反应：C</w:t>
            </w:r>
            <w:r>
              <w:rPr>
                <w:b/>
                <w:szCs w:val="21"/>
                <w:vertAlign w:val="subscript"/>
              </w:rPr>
              <w:t>6</w:t>
            </w:r>
            <w:r>
              <w:rPr>
                <w:b/>
                <w:szCs w:val="21"/>
              </w:rPr>
              <w:t>H</w:t>
            </w:r>
            <w:r>
              <w:rPr>
                <w:b/>
                <w:szCs w:val="21"/>
                <w:vertAlign w:val="subscript"/>
              </w:rPr>
              <w:t>12</w:t>
            </w:r>
            <w:r>
              <w:rPr>
                <w:b/>
                <w:szCs w:val="21"/>
              </w:rPr>
              <w:t>O</w:t>
            </w:r>
            <w:r>
              <w:rPr>
                <w:b/>
                <w:szCs w:val="21"/>
                <w:vertAlign w:val="subscript"/>
              </w:rPr>
              <w:t>6</w:t>
            </w:r>
            <w:r>
              <w:rPr>
                <w:b/>
                <w:szCs w:val="21"/>
              </w:rPr>
              <w:t>→C</w:t>
            </w:r>
            <w:r>
              <w:rPr>
                <w:b/>
                <w:szCs w:val="21"/>
                <w:vertAlign w:val="subscript"/>
              </w:rPr>
              <w:t>3</w:t>
            </w:r>
            <w:r>
              <w:rPr>
                <w:b/>
                <w:szCs w:val="21"/>
              </w:rPr>
              <w:t>H</w:t>
            </w:r>
            <w:r>
              <w:rPr>
                <w:b/>
                <w:szCs w:val="21"/>
                <w:vertAlign w:val="subscript"/>
              </w:rPr>
              <w:t>6</w:t>
            </w:r>
            <w:r>
              <w:rPr>
                <w:b/>
                <w:szCs w:val="21"/>
              </w:rPr>
              <w:t>O</w:t>
            </w:r>
            <w:r>
              <w:rPr>
                <w:b/>
                <w:szCs w:val="21"/>
                <w:vertAlign w:val="subscript"/>
              </w:rPr>
              <w:t>3</w:t>
            </w:r>
            <w:r>
              <w:rPr>
                <w:b/>
                <w:szCs w:val="21"/>
              </w:rPr>
              <w:t>+能量</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如果在运功过程测定血液pH，发现无大的变化，原因是血浆中有多对缓冲物质调节pH</w:t>
            </w:r>
          </w:p>
        </w:tc>
      </w:tr>
    </w:tbl>
    <w:p>
      <w:pPr>
        <w:pStyle w:val="DefaultParagraph"/>
        <w:rPr>
          <w:b/>
          <w:szCs w:val="21"/>
        </w:rPr>
      </w:pPr>
      <w:r>
        <w:rPr>
          <w:b/>
          <w:szCs w:val="21"/>
        </w:rPr>
        <w:t>5．某种有机磷农药能使突触间隙中的乙酰胆碱酯酶（分解乙酰胆碱）活性受抑制，某种蝎毒会抑制 Na</w:t>
      </w:r>
      <w:r>
        <w:rPr>
          <w:b/>
          <w:szCs w:val="21"/>
          <w:vertAlign w:val="superscript"/>
        </w:rPr>
        <w:t>+</w:t>
      </w:r>
      <w:r>
        <w:rPr>
          <w:b/>
          <w:szCs w:val="21"/>
        </w:rPr>
        <w:t>通道的打开．如图表示动作电位传导的示意图，其中a为突触前膜，b为突触后膜．下列叙述正确的是（　　）</w:t>
      </w:r>
      <w:r>
        <w:rPr>
          <w:b/>
          <w:szCs w:val="21"/>
        </w:rPr>
        <w:pict>
          <v:shape id="Picture24" o:spid="_x0000_i1028" type="#_x0000_t75" style="width:278.77pt;height:108.75pt;mso-position-horizontal-relative:page;mso-position-vertical-relative:page;mso-wrap-style:square" filled="f" stroked="f">
            <v:stroke linestyle="single"/>
            <v:imagedata r:id="rId7" o:title=""/>
            <v:path o:extrusionok="f"/>
            <o:lock v:ext="edit" aspectratio="t"/>
          </v:shape>
        </w:pic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轴突膜处于②状态时，Na</w:t>
            </w:r>
            <w:r>
              <w:rPr>
                <w:b/>
                <w:szCs w:val="21"/>
                <w:vertAlign w:val="superscript"/>
              </w:rPr>
              <w:t>+</w:t>
            </w:r>
            <w:r>
              <w:rPr>
                <w:b/>
                <w:szCs w:val="21"/>
              </w:rPr>
              <w:t>内流且不需要消耗ATP</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处于③与④之间的轴突膜，Na</w:t>
            </w:r>
            <w:r>
              <w:rPr>
                <w:b/>
                <w:szCs w:val="21"/>
                <w:vertAlign w:val="superscript"/>
              </w:rPr>
              <w:t>+</w:t>
            </w:r>
            <w:r>
              <w:rPr>
                <w:b/>
                <w:szCs w:val="21"/>
              </w:rPr>
              <w:t>通道大量开放</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若使用该种有机磷农药，则在a处不能释放乙酰胆碱</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若使用该种蝎毒，则能引起b处去极化，形成一个小电位</w:t>
            </w:r>
          </w:p>
        </w:tc>
      </w:tr>
    </w:tbl>
    <w:p>
      <w:pPr>
        <w:pStyle w:val="DefaultParagraph"/>
        <w:rPr>
          <w:b/>
          <w:szCs w:val="21"/>
        </w:rPr>
      </w:pPr>
      <w:r>
        <w:rPr>
          <w:b/>
          <w:szCs w:val="21"/>
        </w:rPr>
        <w:t>6．神经递质乙酰胆碱与突触后膜的乙酰胆碱受体（AChR）结合，突触后膜兴奋，引起肌肉收缩．重症肌无力患者体内该过程出现异常，其发病机理示意图如下．下列叙述错误的是（　　）</w:t>
      </w:r>
      <w:r>
        <w:rPr>
          <w:b/>
          <w:szCs w:val="21"/>
        </w:rPr>
        <w:pict>
          <v:shape id="Picture24" o:spid="_x0000_i1029" type="#_x0000_t75" style="width:310.99pt;height:32.98pt;mso-position-horizontal-relative:page;mso-position-vertical-relative:page;mso-wrap-style:square" filled="f" stroked="f">
            <v:stroke linestyle="single"/>
            <v:imagedata r:id="rId8" o:title=""/>
            <v:path o:extrusionok="f"/>
            <o:lock v:ext="edit" aspectratio="t"/>
          </v:shape>
        </w:pic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抗体a引发的重症肌无力属于自身免疫病</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抗a抗体与物质a的结合物不能被吞噬细胞清除</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rPr>
            </w:pPr>
            <w:r>
              <w:rPr>
                <w:b/>
              </w:rPr>
              <w:t>　</w:t>
            </w:r>
          </w:p>
        </w:tc>
        <w:tc>
          <w:tcPr>
            <w:tcW w:w="330" w:type="dxa"/>
          </w:tcPr>
          <w:p>
            <w:pPr>
              <w:pStyle w:val="DefaultParagraph"/>
              <w:rPr>
                <w:b/>
              </w:rPr>
            </w:pPr>
            <w:r>
              <w:rPr>
                <w:b/>
              </w:rPr>
              <w:t>C．</w:t>
            </w:r>
          </w:p>
        </w:tc>
        <w:tc>
          <w:tcPr>
            <w:tcW w:w="4900" w:type="pct"/>
          </w:tcPr>
          <w:p>
            <w:pPr>
              <w:pStyle w:val="DefaultParagraph"/>
              <w:rPr>
                <w:b/>
              </w:rPr>
            </w:pPr>
            <w:r>
              <w:rPr>
                <w:b/>
              </w:rPr>
              <w:t>物质a可激活记忆细胞增殖分化为浆细胞导致病情加重</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rPr>
            </w:pPr>
            <w:r>
              <w:rPr>
                <w:b/>
              </w:rPr>
              <w:t>　</w:t>
            </w:r>
          </w:p>
        </w:tc>
        <w:tc>
          <w:tcPr>
            <w:tcW w:w="330" w:type="dxa"/>
          </w:tcPr>
          <w:p>
            <w:pPr>
              <w:pStyle w:val="DefaultParagraph"/>
              <w:rPr>
                <w:b/>
              </w:rPr>
            </w:pPr>
            <w:r>
              <w:rPr>
                <w:b/>
              </w:rPr>
              <w:t>D．</w:t>
            </w:r>
          </w:p>
        </w:tc>
        <w:tc>
          <w:tcPr>
            <w:tcW w:w="4900" w:type="pct"/>
          </w:tcPr>
          <w:p>
            <w:pPr>
              <w:pStyle w:val="DefaultParagraph"/>
              <w:rPr>
                <w:b/>
              </w:rPr>
            </w:pPr>
            <w:r>
              <w:rPr>
                <w:b/>
              </w:rPr>
              <w:t>患者体内乙酰胆碱与突触后膜的AChR特异性结合减少</w:t>
            </w:r>
          </w:p>
        </w:tc>
      </w:tr>
    </w:tbl>
    <w:p>
      <w:pPr>
        <w:pStyle w:val="DefaultParagraph"/>
        <w:rPr>
          <w:b/>
        </w:rPr>
      </w:pPr>
      <w:r>
        <w:rPr>
          <w:b/>
        </w:rPr>
        <w:t>7．机体内环境稳态是神经调节、体液调节和免疫调节共同作用的结果，是人体进行正常生命活动的必要条件．请结合图解回答下面的问题：（图中A、B、C、D表示器官或细胞；①②③表示物质）分析下列说法中错误的是（　　）</w:t>
      </w:r>
    </w:p>
    <w:p>
      <w:pPr>
        <w:pStyle w:val="DefaultParagraph"/>
        <w:rPr>
          <w:b/>
        </w:rPr>
      </w:pPr>
      <w:r>
        <w:rPr>
          <w:b/>
        </w:rPr>
        <w:pict>
          <v:shape id="Picture24" o:spid="_x0000_i1030" type="#_x0000_t75" style="width:136.5pt;height:171.75pt;mso-position-horizontal-relative:page;mso-position-vertical-relative:page;mso-wrap-style:square" filled="f" stroked="f">
            <v:stroke linestyle="single"/>
            <v:imagedata r:id="rId9" o:title=""/>
            <v:path o:extrusionok="f"/>
            <o:lock v:ext="edit" aspectratio="t"/>
          </v:shape>
        </w:pic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rPr>
            </w:pPr>
            <w:r>
              <w:rPr>
                <w:b/>
              </w:rPr>
              <w:t>　</w:t>
            </w:r>
          </w:p>
        </w:tc>
        <w:tc>
          <w:tcPr>
            <w:tcW w:w="330" w:type="dxa"/>
          </w:tcPr>
          <w:p>
            <w:pPr>
              <w:pStyle w:val="DefaultParagraph"/>
              <w:rPr>
                <w:b/>
              </w:rPr>
            </w:pPr>
            <w:r>
              <w:rPr>
                <w:b/>
              </w:rPr>
              <w:t>A．</w:t>
            </w:r>
          </w:p>
        </w:tc>
        <w:tc>
          <w:tcPr>
            <w:tcW w:w="4900" w:type="pct"/>
          </w:tcPr>
          <w:p>
            <w:pPr>
              <w:pStyle w:val="DefaultParagraph"/>
              <w:rPr>
                <w:b/>
              </w:rPr>
            </w:pPr>
            <w:r>
              <w:rPr>
                <w:b/>
              </w:rPr>
              <w:t>图中①②③三种物质既体现了激素间分级调节，又体现了反馈调节</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rPr>
            </w:pPr>
            <w:r>
              <w:rPr>
                <w:b/>
              </w:rPr>
              <w:t>　</w:t>
            </w:r>
          </w:p>
        </w:tc>
        <w:tc>
          <w:tcPr>
            <w:tcW w:w="330" w:type="dxa"/>
          </w:tcPr>
          <w:p>
            <w:pPr>
              <w:pStyle w:val="DefaultParagraph"/>
              <w:rPr>
                <w:b/>
              </w:rPr>
            </w:pPr>
            <w:r>
              <w:rPr>
                <w:b/>
              </w:rPr>
              <w:t>B．</w:t>
            </w:r>
          </w:p>
        </w:tc>
        <w:tc>
          <w:tcPr>
            <w:tcW w:w="4900" w:type="pct"/>
          </w:tcPr>
          <w:p>
            <w:pPr>
              <w:pStyle w:val="DefaultParagraph"/>
              <w:rPr>
                <w:b/>
              </w:rPr>
            </w:pPr>
            <w:r>
              <w:rPr>
                <w:b/>
              </w:rPr>
              <w:t>图中A器官既能参与神经调节，又能参与体液调节，是体内神经调节和体液调节的枢纽</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rPr>
            </w:pPr>
            <w:r>
              <w:rPr>
                <w:b/>
              </w:rPr>
              <w:t>　</w:t>
            </w:r>
          </w:p>
        </w:tc>
        <w:tc>
          <w:tcPr>
            <w:tcW w:w="330" w:type="dxa"/>
          </w:tcPr>
          <w:p>
            <w:pPr>
              <w:pStyle w:val="DefaultParagraph"/>
              <w:rPr>
                <w:b/>
              </w:rPr>
            </w:pPr>
            <w:r>
              <w:rPr>
                <w:b/>
              </w:rPr>
              <w:t>C．</w:t>
            </w:r>
          </w:p>
        </w:tc>
        <w:tc>
          <w:tcPr>
            <w:tcW w:w="4900" w:type="pct"/>
          </w:tcPr>
          <w:p>
            <w:pPr>
              <w:pStyle w:val="DefaultParagraph"/>
              <w:rPr>
                <w:b/>
              </w:rPr>
            </w:pPr>
            <w:r>
              <w:rPr>
                <w:b/>
              </w:rPr>
              <w:t>C细胞可产生抗体，其原因是C细胞识别抗原后迅速增殖分化</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rPr>
            </w:pPr>
            <w:r>
              <w:rPr>
                <w:b/>
              </w:rPr>
              <w:t>　</w:t>
            </w:r>
          </w:p>
        </w:tc>
        <w:tc>
          <w:tcPr>
            <w:tcW w:w="330" w:type="dxa"/>
          </w:tcPr>
          <w:p>
            <w:pPr>
              <w:pStyle w:val="DefaultParagraph"/>
              <w:rPr>
                <w:b/>
              </w:rPr>
            </w:pPr>
            <w:r>
              <w:rPr>
                <w:b/>
              </w:rPr>
              <w:t>D．</w:t>
            </w:r>
          </w:p>
        </w:tc>
        <w:tc>
          <w:tcPr>
            <w:tcW w:w="4900" w:type="pct"/>
          </w:tcPr>
          <w:p>
            <w:pPr>
              <w:pStyle w:val="DefaultParagraph"/>
              <w:rPr>
                <w:b/>
              </w:rPr>
            </w:pPr>
            <w:r>
              <w:rPr>
                <w:b/>
              </w:rPr>
              <w:t>长期焦虑和紧张会导致机体免疫力下降，原因是D细胞活性下降使淋巴因子的分泌减少，影响了特异性免疫</w:t>
            </w:r>
          </w:p>
        </w:tc>
      </w:tr>
    </w:tbl>
    <w:p>
      <w:pPr>
        <w:pStyle w:val="DefaultParagraph"/>
        <w:rPr>
          <w:b/>
        </w:rPr>
      </w:pPr>
      <w:r>
        <w:rPr>
          <w:b/>
        </w:rPr>
        <w:t>8．如图是人体体温调节的曲线图，据图分析下列说法正确的是（　　）</w:t>
      </w:r>
    </w:p>
    <w:p>
      <w:pPr>
        <w:pStyle w:val="DefaultParagraph"/>
        <w:rPr>
          <w:b/>
        </w:rPr>
      </w:pPr>
      <w:r>
        <w:rPr>
          <w:b/>
        </w:rPr>
        <w:pict>
          <v:shape id="Picture24" o:spid="_x0000_i1031" type="#_x0000_t75" style="width:144.61pt;height:85.5pt;mso-position-horizontal-relative:page;mso-position-vertical-relative:page;mso-wrap-style:square" filled="f" stroked="f">
            <v:stroke linestyle="single"/>
            <v:imagedata r:id="rId10" o:title=""/>
            <v:path o:extrusionok="f"/>
            <o:lock v:ext="edit" aspectratio="t"/>
          </v:shape>
        </w:pic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rPr>
            </w:pPr>
            <w:r>
              <w:rPr>
                <w:b/>
              </w:rPr>
              <w:t>　</w:t>
            </w:r>
          </w:p>
        </w:tc>
        <w:tc>
          <w:tcPr>
            <w:tcW w:w="330" w:type="dxa"/>
          </w:tcPr>
          <w:p>
            <w:pPr>
              <w:pStyle w:val="DefaultParagraph"/>
              <w:rPr>
                <w:b/>
              </w:rPr>
            </w:pPr>
            <w:r>
              <w:rPr>
                <w:b/>
              </w:rPr>
              <w:t>A．</w:t>
            </w:r>
          </w:p>
        </w:tc>
        <w:tc>
          <w:tcPr>
            <w:tcW w:w="4900" w:type="pct"/>
          </w:tcPr>
          <w:p>
            <w:pPr>
              <w:pStyle w:val="DefaultParagraph"/>
              <w:rPr>
                <w:b/>
              </w:rPr>
            </w:pPr>
            <w:r>
              <w:rPr>
                <w:b/>
              </w:rPr>
              <w:t>t</w:t>
            </w:r>
            <w:r>
              <w:rPr>
                <w:b/>
                <w:sz w:val="24"/>
                <w:szCs w:val="24"/>
                <w:vertAlign w:val="subscript"/>
              </w:rPr>
              <w:t>3</w:t>
            </w:r>
            <w:r>
              <w:rPr>
                <w:b/>
              </w:rPr>
              <w:t>以后，散热量比t</w:t>
            </w:r>
            <w:r>
              <w:rPr>
                <w:b/>
                <w:sz w:val="24"/>
                <w:szCs w:val="24"/>
                <w:vertAlign w:val="subscript"/>
              </w:rPr>
              <w:t>1</w:t>
            </w:r>
            <w:r>
              <w:rPr>
                <w:b/>
              </w:rPr>
              <w:t>时多，体温下降</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rPr>
            </w:pPr>
            <w:r>
              <w:rPr>
                <w:b/>
              </w:rPr>
              <w:t>　</w:t>
            </w:r>
          </w:p>
        </w:tc>
        <w:tc>
          <w:tcPr>
            <w:tcW w:w="330" w:type="dxa"/>
          </w:tcPr>
          <w:p>
            <w:pPr>
              <w:pStyle w:val="DefaultParagraph"/>
              <w:rPr>
                <w:b/>
              </w:rPr>
            </w:pPr>
            <w:r>
              <w:rPr>
                <w:b/>
              </w:rPr>
              <w:t>B．</w:t>
            </w:r>
          </w:p>
        </w:tc>
        <w:tc>
          <w:tcPr>
            <w:tcW w:w="4900" w:type="pct"/>
          </w:tcPr>
          <w:p>
            <w:pPr>
              <w:pStyle w:val="DefaultParagraph"/>
              <w:rPr>
                <w:b/>
              </w:rPr>
            </w:pPr>
            <w:r>
              <w:rPr>
                <w:b/>
              </w:rPr>
              <w:t>t</w:t>
            </w:r>
            <w:r>
              <w:rPr>
                <w:b/>
                <w:sz w:val="24"/>
                <w:szCs w:val="24"/>
                <w:vertAlign w:val="subscript"/>
              </w:rPr>
              <w:t>2</w:t>
            </w:r>
            <w:r>
              <w:rPr>
                <w:b/>
              </w:rPr>
              <w:t>开始阶段，散热量增加，产热量也增加，体温会升高</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rPr>
            </w:pPr>
            <w:r>
              <w:rPr>
                <w:b/>
              </w:rPr>
              <w:t>　</w:t>
            </w:r>
          </w:p>
        </w:tc>
        <w:tc>
          <w:tcPr>
            <w:tcW w:w="330" w:type="dxa"/>
          </w:tcPr>
          <w:p>
            <w:pPr>
              <w:pStyle w:val="DefaultParagraph"/>
              <w:rPr>
                <w:b/>
              </w:rPr>
            </w:pPr>
            <w:r>
              <w:rPr>
                <w:b/>
              </w:rPr>
              <w:t>C．</w:t>
            </w:r>
          </w:p>
        </w:tc>
        <w:tc>
          <w:tcPr>
            <w:tcW w:w="4900" w:type="pct"/>
          </w:tcPr>
          <w:p>
            <w:pPr>
              <w:pStyle w:val="DefaultParagraph"/>
              <w:rPr>
                <w:b/>
              </w:rPr>
            </w:pPr>
            <w:r>
              <w:rPr>
                <w:b/>
              </w:rPr>
              <w:t>当环境温度为25℃时，散热量较少，产热量较多，体温会上升</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rPr>
            </w:pPr>
            <w:r>
              <w:rPr>
                <w:b/>
              </w:rPr>
              <w:t>　</w:t>
            </w:r>
          </w:p>
        </w:tc>
        <w:tc>
          <w:tcPr>
            <w:tcW w:w="330" w:type="dxa"/>
          </w:tcPr>
          <w:p>
            <w:pPr>
              <w:pStyle w:val="DefaultParagraph"/>
              <w:rPr>
                <w:b/>
              </w:rPr>
            </w:pPr>
            <w:r>
              <w:rPr>
                <w:b/>
              </w:rPr>
              <w:t>D．</w:t>
            </w:r>
          </w:p>
        </w:tc>
        <w:tc>
          <w:tcPr>
            <w:tcW w:w="4900" w:type="pct"/>
          </w:tcPr>
          <w:p>
            <w:pPr>
              <w:pStyle w:val="DefaultParagraph"/>
              <w:rPr>
                <w:b/>
              </w:rPr>
            </w:pPr>
            <w:r>
              <w:rPr>
                <w:b/>
              </w:rPr>
              <w:t>从t</w:t>
            </w:r>
            <w:r>
              <w:rPr>
                <w:b/>
                <w:sz w:val="24"/>
                <w:szCs w:val="24"/>
                <w:vertAlign w:val="subscript"/>
              </w:rPr>
              <w:t>1</w:t>
            </w:r>
            <w:r>
              <w:rPr>
                <w:b/>
              </w:rPr>
              <w:t>到t</w:t>
            </w:r>
            <w:r>
              <w:rPr>
                <w:b/>
                <w:sz w:val="24"/>
                <w:szCs w:val="24"/>
                <w:vertAlign w:val="subscript"/>
              </w:rPr>
              <w:t>2</w:t>
            </w:r>
            <w:r>
              <w:rPr>
                <w:b/>
              </w:rPr>
              <w:t>，散热量增加是由于人体体温与环境温度的温差加大</w:t>
            </w:r>
          </w:p>
        </w:tc>
      </w:tr>
    </w:tbl>
    <w:p>
      <w:pPr>
        <w:pStyle w:val="DefaultParagraph"/>
        <w:rPr>
          <w:b/>
        </w:rPr>
      </w:pPr>
      <w:r>
        <w:rPr>
          <w:b/>
        </w:rPr>
        <w:t>9．γ﹣氨基丁酸（GABA）和某种局部麻醉药在神经兴奋传递过程中的作用机理如下图所示．此种局麻药单独使用时不能通过细胞膜，如与辣椒素同时注射才会发生如图所示效果．下列分析不正确的是（　　）</w:t>
      </w:r>
    </w:p>
    <w:p>
      <w:pPr>
        <w:pStyle w:val="DefaultParagraph"/>
        <w:rPr>
          <w:b/>
        </w:rPr>
      </w:pPr>
      <w:r>
        <w:rPr>
          <w:b/>
        </w:rPr>
        <w:pict>
          <v:shape id="Picture24" o:spid="_x0000_i1032" type="#_x0000_t75" style="width:346.95pt;height:114.65pt;mso-position-horizontal-relative:page;mso-position-vertical-relative:page;mso-wrap-style:square" filled="f" stroked="f">
            <v:stroke linestyle="single"/>
            <v:imagedata r:id="rId11" o:title=""/>
            <v:path o:extrusionok="f"/>
            <o:lock v:ext="edit" aspectratio="t"/>
          </v:shape>
        </w:pic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rPr>
            </w:pPr>
            <w:r>
              <w:rPr>
                <w:b/>
              </w:rPr>
              <w:t>　</w:t>
            </w:r>
          </w:p>
        </w:tc>
        <w:tc>
          <w:tcPr>
            <w:tcW w:w="330" w:type="dxa"/>
          </w:tcPr>
          <w:p>
            <w:pPr>
              <w:pStyle w:val="DefaultParagraph"/>
              <w:rPr>
                <w:b/>
              </w:rPr>
            </w:pPr>
            <w:r>
              <w:rPr>
                <w:b/>
              </w:rPr>
              <w:t>A．</w:t>
            </w:r>
          </w:p>
        </w:tc>
        <w:tc>
          <w:tcPr>
            <w:tcW w:w="4900" w:type="pct"/>
          </w:tcPr>
          <w:p>
            <w:pPr>
              <w:pStyle w:val="DefaultParagraph"/>
              <w:rPr>
                <w:b/>
              </w:rPr>
            </w:pPr>
            <w:r>
              <w:rPr>
                <w:b/>
              </w:rPr>
              <w:t>GABA与突触后膜上受体结合后引起膜内电位由负变为正</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rPr>
            </w:pPr>
            <w:r>
              <w:rPr>
                <w:b/>
              </w:rPr>
              <w:t>　</w:t>
            </w:r>
          </w:p>
        </w:tc>
        <w:tc>
          <w:tcPr>
            <w:tcW w:w="330" w:type="dxa"/>
          </w:tcPr>
          <w:p>
            <w:pPr>
              <w:pStyle w:val="DefaultParagraph"/>
              <w:rPr>
                <w:b/>
              </w:rPr>
            </w:pPr>
            <w:r>
              <w:rPr>
                <w:b/>
              </w:rPr>
              <w:t>B．</w:t>
            </w:r>
          </w:p>
        </w:tc>
        <w:tc>
          <w:tcPr>
            <w:tcW w:w="4900" w:type="pct"/>
          </w:tcPr>
          <w:p>
            <w:pPr>
              <w:pStyle w:val="DefaultParagraph"/>
              <w:rPr>
                <w:b/>
              </w:rPr>
            </w:pPr>
            <w:r>
              <w:rPr>
                <w:b/>
              </w:rPr>
              <w:t>喹诺酮类药物能抑制脑内GABA与受体结合，服用该药可增强中枢神经系统兴奋性</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rPr>
            </w:pPr>
            <w:r>
              <w:rPr>
                <w:b/>
              </w:rPr>
              <w:t>　</w:t>
            </w:r>
          </w:p>
        </w:tc>
        <w:tc>
          <w:tcPr>
            <w:tcW w:w="330" w:type="dxa"/>
          </w:tcPr>
          <w:p>
            <w:pPr>
              <w:pStyle w:val="DefaultParagraph"/>
              <w:rPr>
                <w:b/>
              </w:rPr>
            </w:pPr>
            <w:r>
              <w:rPr>
                <w:b/>
              </w:rPr>
              <w:t>C．</w:t>
            </w:r>
          </w:p>
        </w:tc>
        <w:tc>
          <w:tcPr>
            <w:tcW w:w="4900" w:type="pct"/>
          </w:tcPr>
          <w:p>
            <w:pPr>
              <w:pStyle w:val="DefaultParagraph"/>
              <w:rPr>
                <w:b/>
              </w:rPr>
            </w:pPr>
            <w:r>
              <w:rPr>
                <w:b/>
              </w:rPr>
              <w:t>局部麻醉药作用于突触后膜的Na</w:t>
            </w:r>
            <w:r>
              <w:rPr>
                <w:b/>
                <w:sz w:val="24"/>
                <w:szCs w:val="24"/>
                <w:vertAlign w:val="superscript"/>
              </w:rPr>
              <w:t>+</w:t>
            </w:r>
            <w:r>
              <w:rPr>
                <w:b/>
              </w:rPr>
              <w:t>通道，阻碍Na</w:t>
            </w:r>
            <w:r>
              <w:rPr>
                <w:b/>
                <w:sz w:val="24"/>
                <w:szCs w:val="24"/>
                <w:vertAlign w:val="superscript"/>
              </w:rPr>
              <w:t>+</w:t>
            </w:r>
            <w:r>
              <w:rPr>
                <w:b/>
              </w:rPr>
              <w:t>内流，抑制突触后膜产生兴奋</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rPr>
            </w:pPr>
            <w:r>
              <w:rPr>
                <w:b/>
              </w:rPr>
              <w:t>　</w:t>
            </w:r>
          </w:p>
        </w:tc>
        <w:tc>
          <w:tcPr>
            <w:tcW w:w="330" w:type="dxa"/>
          </w:tcPr>
          <w:p>
            <w:pPr>
              <w:pStyle w:val="DefaultParagraph"/>
              <w:rPr>
                <w:b/>
              </w:rPr>
            </w:pPr>
            <w:r>
              <w:rPr>
                <w:b/>
              </w:rPr>
              <w:t>D．</w:t>
            </w:r>
          </w:p>
        </w:tc>
        <w:tc>
          <w:tcPr>
            <w:tcW w:w="4900" w:type="pct"/>
          </w:tcPr>
          <w:p>
            <w:pPr>
              <w:pStyle w:val="DefaultParagraph"/>
              <w:rPr>
                <w:b/>
              </w:rPr>
            </w:pPr>
            <w:r>
              <w:rPr>
                <w:b/>
              </w:rPr>
              <w:t>兴奋在两个神经元之间传递时，会发生生物膜的融合和转化以及ATP的合成和分解</w:t>
            </w:r>
          </w:p>
        </w:tc>
      </w:tr>
    </w:tbl>
    <w:p>
      <w:pPr>
        <w:pStyle w:val="DefaultParagraph"/>
        <w:rPr>
          <w:b/>
        </w:rPr>
      </w:pPr>
      <w:r>
        <w:rPr>
          <w:b/>
        </w:rPr>
        <w:t>10．给予相同位置不同刺激，记录传入神经上的电信号及产生的感觉，结果如图所示．下列相关分析错误的（　　）</w:t>
      </w:r>
    </w:p>
    <w:tbl>
      <w:tblPr>
        <w:tblStyle w:val="TableNormal"/>
        <w:tblW w:w="0" w:type="auto"/>
        <w:jc w:val="center"/>
        <w:tblInd w:w="-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0" w:type="dxa"/>
          <w:left w:w="0" w:type="dxa"/>
          <w:bottom w:w="0" w:type="dxa"/>
          <w:right w:w="0" w:type="dxa"/>
        </w:tblCellMar>
        <w:tblLook w:val="0000"/>
      </w:tblPr>
      <w:tblGrid>
        <w:gridCol w:w="12"/>
        <w:gridCol w:w="345"/>
        <w:gridCol w:w="1187"/>
        <w:gridCol w:w="1539"/>
        <w:gridCol w:w="1627"/>
        <w:gridCol w:w="1539"/>
        <w:gridCol w:w="1539"/>
        <w:gridCol w:w="677"/>
      </w:tblGrid>
      <w:tr>
        <w:tblPrEx>
          <w:tblW w:w="0" w:type="auto"/>
          <w:jc w:val="center"/>
          <w:tblInd w:w="-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0" w:type="dxa"/>
            <w:left w:w="0" w:type="dxa"/>
            <w:bottom w:w="0" w:type="dxa"/>
            <w:right w:w="0" w:type="dxa"/>
          </w:tblCellMar>
          <w:tblLook w:val="0000"/>
        </w:tblPrEx>
        <w:trPr>
          <w:gridAfter w:val="1"/>
          <w:wAfter w:w="762" w:type="dxa"/>
          <w:jc w:val="center"/>
        </w:trPr>
        <w:tc>
          <w:tcPr>
            <w:tcW w:w="1710" w:type="dxa"/>
            <w:gridSpan w:val="3"/>
            <w:vAlign w:val="center"/>
          </w:tcPr>
          <w:p>
            <w:pPr>
              <w:pStyle w:val="DefaultParagraph"/>
              <w:jc w:val="center"/>
              <w:rPr>
                <w:b/>
                <w:sz w:val="18"/>
                <w:szCs w:val="18"/>
              </w:rPr>
            </w:pPr>
            <w:r>
              <w:rPr>
                <w:b/>
                <w:sz w:val="18"/>
                <w:szCs w:val="18"/>
              </w:rPr>
              <w:t>刺激类型</w:t>
            </w:r>
          </w:p>
        </w:tc>
        <w:tc>
          <w:tcPr>
            <w:tcW w:w="1710" w:type="dxa"/>
            <w:vAlign w:val="center"/>
          </w:tcPr>
          <w:p>
            <w:pPr>
              <w:pStyle w:val="DefaultParagraph"/>
              <w:jc w:val="center"/>
              <w:rPr>
                <w:b/>
                <w:sz w:val="18"/>
                <w:szCs w:val="18"/>
              </w:rPr>
            </w:pPr>
            <w:r>
              <w:rPr>
                <w:b/>
                <w:sz w:val="18"/>
                <w:szCs w:val="18"/>
              </w:rPr>
              <w:t>刺激强度</w:t>
            </w:r>
          </w:p>
        </w:tc>
        <w:tc>
          <w:tcPr>
            <w:tcW w:w="1710" w:type="dxa"/>
            <w:vAlign w:val="center"/>
          </w:tcPr>
          <w:p>
            <w:pPr>
              <w:pStyle w:val="DefaultParagraph"/>
              <w:jc w:val="center"/>
              <w:rPr>
                <w:b/>
                <w:sz w:val="18"/>
                <w:szCs w:val="18"/>
              </w:rPr>
            </w:pPr>
            <w:r>
              <w:rPr>
                <w:b/>
                <w:sz w:val="18"/>
                <w:szCs w:val="18"/>
              </w:rPr>
              <w:t>传入神经上的电信号（时长相等）</w:t>
            </w:r>
          </w:p>
        </w:tc>
        <w:tc>
          <w:tcPr>
            <w:tcW w:w="1710" w:type="dxa"/>
            <w:vAlign w:val="center"/>
          </w:tcPr>
          <w:p>
            <w:pPr>
              <w:pStyle w:val="DefaultParagraph"/>
              <w:jc w:val="center"/>
              <w:rPr>
                <w:b/>
                <w:sz w:val="18"/>
                <w:szCs w:val="18"/>
              </w:rPr>
            </w:pPr>
            <w:r>
              <w:rPr>
                <w:b/>
                <w:sz w:val="18"/>
                <w:szCs w:val="18"/>
              </w:rPr>
              <w:t>产生的感觉类型</w:t>
            </w:r>
          </w:p>
        </w:tc>
        <w:tc>
          <w:tcPr>
            <w:tcW w:w="1710" w:type="dxa"/>
            <w:vAlign w:val="center"/>
          </w:tcPr>
          <w:p>
            <w:pPr>
              <w:pStyle w:val="DefaultParagraph"/>
              <w:jc w:val="center"/>
              <w:rPr>
                <w:b/>
                <w:sz w:val="18"/>
                <w:szCs w:val="18"/>
              </w:rPr>
            </w:pPr>
            <w:r>
              <w:rPr>
                <w:b/>
                <w:sz w:val="18"/>
                <w:szCs w:val="18"/>
              </w:rPr>
              <w:t>感觉强度</w:t>
            </w:r>
          </w:p>
        </w:tc>
      </w:tr>
      <w:tr>
        <w:tblPrEx>
          <w:tblW w:w="0" w:type="auto"/>
          <w:jc w:val="center"/>
          <w:tblInd w:w="-1" w:type="dxa"/>
          <w:tblCellMar>
            <w:top w:w="0" w:type="dxa"/>
            <w:left w:w="0" w:type="dxa"/>
            <w:bottom w:w="0" w:type="dxa"/>
            <w:right w:w="0" w:type="dxa"/>
          </w:tblCellMar>
          <w:tblLook w:val="0000"/>
        </w:tblPrEx>
        <w:trPr>
          <w:gridAfter w:val="1"/>
          <w:wAfter w:w="762" w:type="dxa"/>
          <w:jc w:val="center"/>
        </w:trPr>
        <w:tc>
          <w:tcPr>
            <w:tcW w:w="1710" w:type="dxa"/>
            <w:gridSpan w:val="3"/>
            <w:vMerge w:val="restart"/>
            <w:vAlign w:val="center"/>
          </w:tcPr>
          <w:p>
            <w:pPr>
              <w:pStyle w:val="DefaultParagraph"/>
              <w:jc w:val="center"/>
              <w:rPr>
                <w:b/>
                <w:sz w:val="18"/>
                <w:szCs w:val="18"/>
              </w:rPr>
            </w:pPr>
            <w:r>
              <w:rPr>
                <w:b/>
                <w:sz w:val="18"/>
                <w:szCs w:val="18"/>
              </w:rPr>
              <w:t>针刺激</w:t>
            </w:r>
          </w:p>
        </w:tc>
        <w:tc>
          <w:tcPr>
            <w:tcW w:w="1710" w:type="dxa"/>
            <w:vAlign w:val="center"/>
          </w:tcPr>
          <w:p>
            <w:pPr>
              <w:pStyle w:val="DefaultParagraph"/>
              <w:jc w:val="center"/>
              <w:rPr>
                <w:b/>
                <w:sz w:val="18"/>
                <w:szCs w:val="18"/>
              </w:rPr>
            </w:pPr>
            <w:r>
              <w:rPr>
                <w:b/>
                <w:sz w:val="18"/>
                <w:szCs w:val="18"/>
              </w:rPr>
              <w:t>较小</w:t>
            </w:r>
          </w:p>
        </w:tc>
        <w:tc>
          <w:tcPr>
            <w:tcW w:w="1710" w:type="dxa"/>
            <w:vAlign w:val="center"/>
          </w:tcPr>
          <w:p>
            <w:pPr>
              <w:pStyle w:val="DefaultParagraph"/>
              <w:jc w:val="center"/>
              <w:rPr>
                <w:b/>
                <w:sz w:val="18"/>
                <w:szCs w:val="18"/>
              </w:rPr>
            </w:pPr>
            <w:r>
              <w:rPr>
                <w:b/>
                <w:sz w:val="18"/>
                <w:szCs w:val="18"/>
              </w:rPr>
              <w:pict>
                <v:shape id="Picture24" o:spid="_x0000_i1033" type="#_x0000_t75" style="width:48pt;height:10.49pt;mso-position-horizontal-relative:page;mso-position-vertical-relative:page;mso-wrap-style:square" filled="f" stroked="f">
                  <v:stroke linestyle="single"/>
                  <v:imagedata r:id="rId12" o:title=""/>
                  <v:path o:extrusionok="f"/>
                  <o:lock v:ext="edit" aspectratio="t"/>
                </v:shape>
              </w:pict>
            </w:r>
          </w:p>
        </w:tc>
        <w:tc>
          <w:tcPr>
            <w:tcW w:w="1710" w:type="dxa"/>
            <w:vMerge w:val="restart"/>
            <w:vAlign w:val="center"/>
          </w:tcPr>
          <w:p>
            <w:pPr>
              <w:pStyle w:val="DefaultParagraph"/>
              <w:jc w:val="center"/>
              <w:rPr>
                <w:b/>
                <w:sz w:val="18"/>
                <w:szCs w:val="18"/>
              </w:rPr>
            </w:pPr>
            <w:r>
              <w:rPr>
                <w:b/>
                <w:sz w:val="18"/>
                <w:szCs w:val="18"/>
              </w:rPr>
              <w:t>刺痛</w:t>
            </w:r>
          </w:p>
        </w:tc>
        <w:tc>
          <w:tcPr>
            <w:tcW w:w="1710" w:type="dxa"/>
            <w:vAlign w:val="center"/>
          </w:tcPr>
          <w:p>
            <w:pPr>
              <w:pStyle w:val="DefaultParagraph"/>
              <w:jc w:val="center"/>
              <w:rPr>
                <w:b/>
                <w:sz w:val="18"/>
                <w:szCs w:val="18"/>
              </w:rPr>
            </w:pPr>
            <w:r>
              <w:rPr>
                <w:b/>
                <w:sz w:val="18"/>
                <w:szCs w:val="18"/>
              </w:rPr>
              <w:t>较弱</w:t>
            </w:r>
          </w:p>
        </w:tc>
      </w:tr>
      <w:tr>
        <w:tblPrEx>
          <w:tblW w:w="0" w:type="auto"/>
          <w:jc w:val="center"/>
          <w:tblInd w:w="-1" w:type="dxa"/>
          <w:tblCellMar>
            <w:top w:w="0" w:type="dxa"/>
            <w:left w:w="0" w:type="dxa"/>
            <w:bottom w:w="0" w:type="dxa"/>
            <w:right w:w="0" w:type="dxa"/>
          </w:tblCellMar>
          <w:tblLook w:val="0000"/>
        </w:tblPrEx>
        <w:trPr>
          <w:gridAfter w:val="1"/>
          <w:wAfter w:w="762" w:type="dxa"/>
          <w:jc w:val="center"/>
        </w:trPr>
        <w:tc>
          <w:tcPr>
            <w:tcW w:w="1710" w:type="dxa"/>
            <w:gridSpan w:val="3"/>
            <w:vMerge/>
            <w:vAlign w:val="center"/>
          </w:tcPr>
          <w:p>
            <w:pPr>
              <w:pStyle w:val="DefaultParagraph"/>
              <w:jc w:val="center"/>
              <w:rPr>
                <w:b/>
                <w:sz w:val="18"/>
                <w:szCs w:val="18"/>
              </w:rPr>
            </w:pPr>
          </w:p>
        </w:tc>
        <w:tc>
          <w:tcPr>
            <w:tcW w:w="1710" w:type="dxa"/>
            <w:vAlign w:val="center"/>
          </w:tcPr>
          <w:p>
            <w:pPr>
              <w:pStyle w:val="DefaultParagraph"/>
              <w:jc w:val="center"/>
              <w:rPr>
                <w:b/>
                <w:sz w:val="18"/>
                <w:szCs w:val="18"/>
              </w:rPr>
            </w:pPr>
            <w:r>
              <w:rPr>
                <w:b/>
                <w:sz w:val="18"/>
                <w:szCs w:val="18"/>
              </w:rPr>
              <w:t>较大</w:t>
            </w:r>
          </w:p>
        </w:tc>
        <w:tc>
          <w:tcPr>
            <w:tcW w:w="1710" w:type="dxa"/>
            <w:vAlign w:val="center"/>
          </w:tcPr>
          <w:p>
            <w:pPr>
              <w:pStyle w:val="DefaultParagraph"/>
              <w:jc w:val="center"/>
              <w:rPr>
                <w:b/>
                <w:sz w:val="18"/>
                <w:szCs w:val="18"/>
              </w:rPr>
            </w:pPr>
            <w:r>
              <w:rPr>
                <w:b/>
                <w:sz w:val="18"/>
                <w:szCs w:val="18"/>
              </w:rPr>
              <w:pict>
                <v:shape id="Picture24" o:spid="_x0000_i1034" type="#_x0000_t75" style="width:45.75pt;height:10.49pt;mso-position-horizontal-relative:page;mso-position-vertical-relative:page;mso-wrap-style:square" filled="f" stroked="f">
                  <v:stroke linestyle="single"/>
                  <v:imagedata r:id="rId13" o:title=""/>
                  <v:path o:extrusionok="f"/>
                  <o:lock v:ext="edit" aspectratio="t"/>
                </v:shape>
              </w:pict>
            </w:r>
          </w:p>
        </w:tc>
        <w:tc>
          <w:tcPr>
            <w:tcW w:w="1710" w:type="dxa"/>
            <w:vMerge/>
            <w:vAlign w:val="center"/>
          </w:tcPr>
          <w:p>
            <w:pPr>
              <w:pStyle w:val="DefaultParagraph"/>
              <w:jc w:val="center"/>
              <w:rPr>
                <w:b/>
                <w:sz w:val="18"/>
                <w:szCs w:val="18"/>
              </w:rPr>
            </w:pPr>
          </w:p>
        </w:tc>
        <w:tc>
          <w:tcPr>
            <w:tcW w:w="1710" w:type="dxa"/>
            <w:vAlign w:val="center"/>
          </w:tcPr>
          <w:p>
            <w:pPr>
              <w:pStyle w:val="DefaultParagraph"/>
              <w:jc w:val="center"/>
              <w:rPr>
                <w:b/>
                <w:sz w:val="18"/>
                <w:szCs w:val="18"/>
              </w:rPr>
            </w:pPr>
            <w:r>
              <w:rPr>
                <w:b/>
                <w:sz w:val="18"/>
                <w:szCs w:val="18"/>
              </w:rPr>
              <w:t>较强</w:t>
            </w:r>
          </w:p>
        </w:tc>
      </w:tr>
      <w:tr>
        <w:tblPrEx>
          <w:tblW w:w="0" w:type="auto"/>
          <w:jc w:val="center"/>
          <w:tblInd w:w="-1" w:type="dxa"/>
          <w:tblCellMar>
            <w:top w:w="0" w:type="dxa"/>
            <w:left w:w="0" w:type="dxa"/>
            <w:bottom w:w="0" w:type="dxa"/>
            <w:right w:w="0" w:type="dxa"/>
          </w:tblCellMar>
          <w:tblLook w:val="0000"/>
        </w:tblPrEx>
        <w:trPr>
          <w:gridAfter w:val="1"/>
          <w:wAfter w:w="762" w:type="dxa"/>
          <w:jc w:val="center"/>
        </w:trPr>
        <w:tc>
          <w:tcPr>
            <w:tcW w:w="1710" w:type="dxa"/>
            <w:gridSpan w:val="3"/>
            <w:vMerge w:val="restart"/>
            <w:vAlign w:val="center"/>
          </w:tcPr>
          <w:p>
            <w:pPr>
              <w:pStyle w:val="DefaultParagraph"/>
              <w:jc w:val="center"/>
              <w:rPr>
                <w:b/>
                <w:sz w:val="18"/>
                <w:szCs w:val="18"/>
              </w:rPr>
            </w:pPr>
            <w:r>
              <w:rPr>
                <w:b/>
                <w:sz w:val="18"/>
                <w:szCs w:val="18"/>
              </w:rPr>
              <w:t>热刺激</w:t>
            </w:r>
          </w:p>
        </w:tc>
        <w:tc>
          <w:tcPr>
            <w:tcW w:w="1710" w:type="dxa"/>
            <w:vAlign w:val="center"/>
          </w:tcPr>
          <w:p>
            <w:pPr>
              <w:pStyle w:val="DefaultParagraph"/>
              <w:jc w:val="center"/>
              <w:rPr>
                <w:b/>
                <w:sz w:val="18"/>
                <w:szCs w:val="18"/>
              </w:rPr>
            </w:pPr>
            <w:r>
              <w:rPr>
                <w:b/>
                <w:sz w:val="18"/>
                <w:szCs w:val="18"/>
              </w:rPr>
              <w:t>较低</w:t>
            </w:r>
          </w:p>
        </w:tc>
        <w:tc>
          <w:tcPr>
            <w:tcW w:w="1710" w:type="dxa"/>
            <w:vAlign w:val="center"/>
          </w:tcPr>
          <w:p>
            <w:pPr>
              <w:pStyle w:val="DefaultParagraph"/>
              <w:jc w:val="center"/>
              <w:rPr>
                <w:b/>
                <w:sz w:val="18"/>
                <w:szCs w:val="18"/>
              </w:rPr>
            </w:pPr>
            <w:r>
              <w:rPr>
                <w:b/>
                <w:sz w:val="18"/>
                <w:szCs w:val="18"/>
              </w:rPr>
              <w:pict>
                <v:shape id="Picture24" o:spid="_x0000_i1035" type="#_x0000_t75" style="width:44.95pt;height:11.24pt;mso-position-horizontal-relative:page;mso-position-vertical-relative:page;mso-wrap-style:square" filled="f" stroked="f">
                  <v:stroke linestyle="single"/>
                  <v:imagedata r:id="rId14" o:title=""/>
                  <v:path o:extrusionok="f"/>
                  <o:lock v:ext="edit" aspectratio="t"/>
                </v:shape>
              </w:pict>
            </w:r>
          </w:p>
        </w:tc>
        <w:tc>
          <w:tcPr>
            <w:tcW w:w="1710" w:type="dxa"/>
            <w:vMerge w:val="restart"/>
            <w:vAlign w:val="center"/>
          </w:tcPr>
          <w:p>
            <w:pPr>
              <w:pStyle w:val="DefaultParagraph"/>
              <w:jc w:val="center"/>
              <w:rPr>
                <w:b/>
                <w:sz w:val="18"/>
                <w:szCs w:val="18"/>
              </w:rPr>
            </w:pPr>
            <w:r>
              <w:rPr>
                <w:b/>
                <w:sz w:val="18"/>
                <w:szCs w:val="18"/>
              </w:rPr>
              <w:t>热感</w:t>
            </w:r>
          </w:p>
        </w:tc>
        <w:tc>
          <w:tcPr>
            <w:tcW w:w="1710" w:type="dxa"/>
            <w:vAlign w:val="center"/>
          </w:tcPr>
          <w:p>
            <w:pPr>
              <w:pStyle w:val="DefaultParagraph"/>
              <w:jc w:val="center"/>
              <w:rPr>
                <w:b/>
                <w:sz w:val="18"/>
                <w:szCs w:val="18"/>
              </w:rPr>
            </w:pPr>
            <w:r>
              <w:rPr>
                <w:b/>
                <w:sz w:val="18"/>
                <w:szCs w:val="18"/>
              </w:rPr>
              <w:t>较弱</w:t>
            </w:r>
          </w:p>
        </w:tc>
      </w:tr>
      <w:tr>
        <w:tblPrEx>
          <w:tblW w:w="0" w:type="auto"/>
          <w:jc w:val="center"/>
          <w:tblInd w:w="-1" w:type="dxa"/>
          <w:tblCellMar>
            <w:top w:w="0" w:type="dxa"/>
            <w:left w:w="0" w:type="dxa"/>
            <w:bottom w:w="0" w:type="dxa"/>
            <w:right w:w="0" w:type="dxa"/>
          </w:tblCellMar>
          <w:tblLook w:val="0000"/>
        </w:tblPrEx>
        <w:trPr>
          <w:gridAfter w:val="1"/>
          <w:wAfter w:w="762" w:type="dxa"/>
          <w:jc w:val="center"/>
        </w:trPr>
        <w:tc>
          <w:tcPr>
            <w:tcW w:w="1710" w:type="dxa"/>
            <w:gridSpan w:val="3"/>
            <w:vMerge/>
            <w:vAlign w:val="center"/>
          </w:tcPr>
          <w:p>
            <w:pPr>
              <w:pStyle w:val="DefaultParagraph"/>
              <w:jc w:val="center"/>
              <w:rPr>
                <w:b/>
                <w:sz w:val="18"/>
                <w:szCs w:val="18"/>
              </w:rPr>
            </w:pPr>
          </w:p>
        </w:tc>
        <w:tc>
          <w:tcPr>
            <w:tcW w:w="1710" w:type="dxa"/>
            <w:vAlign w:val="center"/>
          </w:tcPr>
          <w:p>
            <w:pPr>
              <w:pStyle w:val="DefaultParagraph"/>
              <w:jc w:val="center"/>
              <w:rPr>
                <w:b/>
                <w:sz w:val="18"/>
                <w:szCs w:val="18"/>
              </w:rPr>
            </w:pPr>
            <w:r>
              <w:rPr>
                <w:b/>
                <w:sz w:val="18"/>
                <w:szCs w:val="18"/>
              </w:rPr>
              <w:t>较高</w:t>
            </w:r>
          </w:p>
        </w:tc>
        <w:tc>
          <w:tcPr>
            <w:tcW w:w="1710" w:type="dxa"/>
            <w:vAlign w:val="center"/>
          </w:tcPr>
          <w:p>
            <w:pPr>
              <w:pStyle w:val="DefaultParagraph"/>
              <w:jc w:val="center"/>
              <w:rPr>
                <w:b/>
                <w:sz w:val="18"/>
                <w:szCs w:val="18"/>
              </w:rPr>
            </w:pPr>
            <w:r>
              <w:rPr>
                <w:b/>
                <w:sz w:val="18"/>
                <w:szCs w:val="18"/>
              </w:rPr>
              <w:pict>
                <v:shape id="Picture24" o:spid="_x0000_i1036" type="#_x0000_t75" style="width:44.2pt;height:10.49pt;mso-position-horizontal-relative:page;mso-position-vertical-relative:page;mso-wrap-style:square" filled="f" stroked="f">
                  <v:stroke linestyle="single"/>
                  <v:imagedata r:id="rId15" o:title=""/>
                  <v:path o:extrusionok="f"/>
                  <o:lock v:ext="edit" aspectratio="t"/>
                </v:shape>
              </w:pict>
            </w:r>
          </w:p>
        </w:tc>
        <w:tc>
          <w:tcPr>
            <w:tcW w:w="1710" w:type="dxa"/>
            <w:vMerge/>
            <w:vAlign w:val="center"/>
          </w:tcPr>
          <w:p>
            <w:pPr>
              <w:pStyle w:val="DefaultParagraph"/>
              <w:jc w:val="center"/>
              <w:rPr>
                <w:b/>
                <w:sz w:val="18"/>
                <w:szCs w:val="18"/>
              </w:rPr>
            </w:pPr>
          </w:p>
        </w:tc>
        <w:tc>
          <w:tcPr>
            <w:tcW w:w="1710" w:type="dxa"/>
            <w:vAlign w:val="center"/>
          </w:tcPr>
          <w:p>
            <w:pPr>
              <w:pStyle w:val="DefaultParagraph"/>
              <w:jc w:val="center"/>
              <w:rPr>
                <w:b/>
                <w:sz w:val="18"/>
                <w:szCs w:val="18"/>
              </w:rPr>
            </w:pPr>
            <w:r>
              <w:rPr>
                <w:b/>
                <w:sz w:val="18"/>
                <w:szCs w:val="18"/>
              </w:rPr>
              <w:t>较强</w:t>
            </w:r>
          </w:p>
        </w:tc>
      </w:tr>
      <w:tr>
        <w:tblPrEx>
          <w:tblW w:w="0" w:type="auto"/>
          <w:jc w:val="center"/>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rPr>
          <w:jc w:val="center"/>
        </w:trPr>
        <w:tc>
          <w:tcPr>
            <w:tcW w:w="8" w:type="dxa"/>
          </w:tcPr>
          <w:p>
            <w:pPr>
              <w:pStyle w:val="DefaultParagraph"/>
              <w:rPr>
                <w:b/>
                <w:sz w:val="18"/>
                <w:szCs w:val="18"/>
              </w:rPr>
            </w:pPr>
            <w:r>
              <w:rPr>
                <w:b/>
                <w:sz w:val="18"/>
                <w:szCs w:val="18"/>
              </w:rPr>
              <w:t>　</w:t>
            </w:r>
          </w:p>
        </w:tc>
        <w:tc>
          <w:tcPr>
            <w:tcW w:w="365" w:type="dxa"/>
          </w:tcPr>
          <w:p>
            <w:pPr>
              <w:pStyle w:val="DefaultParagraph"/>
              <w:rPr>
                <w:b/>
                <w:sz w:val="18"/>
                <w:szCs w:val="18"/>
              </w:rPr>
            </w:pPr>
            <w:r>
              <w:rPr>
                <w:b/>
                <w:sz w:val="18"/>
                <w:szCs w:val="18"/>
              </w:rPr>
              <w:t>A．</w:t>
            </w:r>
          </w:p>
        </w:tc>
        <w:tc>
          <w:tcPr>
            <w:tcW w:w="8939" w:type="dxa"/>
            <w:gridSpan w:val="6"/>
          </w:tcPr>
          <w:p>
            <w:pPr>
              <w:pStyle w:val="DefaultParagraph"/>
              <w:rPr>
                <w:b/>
                <w:sz w:val="18"/>
                <w:szCs w:val="18"/>
              </w:rPr>
            </w:pPr>
            <w:r>
              <w:rPr>
                <w:b/>
                <w:sz w:val="18"/>
                <w:szCs w:val="18"/>
              </w:rPr>
              <w:t>传入神经纤维在未受到刺激时膜内外电位的表现是外正内负</w:t>
            </w:r>
          </w:p>
        </w:tc>
      </w:tr>
      <w:tr>
        <w:tblPrEx>
          <w:tblW w:w="0" w:type="auto"/>
          <w:jc w:val="center"/>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rPr>
          <w:jc w:val="center"/>
        </w:trPr>
        <w:tc>
          <w:tcPr>
            <w:tcW w:w="8" w:type="dxa"/>
          </w:tcPr>
          <w:p>
            <w:pPr>
              <w:pStyle w:val="DefaultParagraph"/>
              <w:rPr>
                <w:b/>
                <w:sz w:val="18"/>
                <w:szCs w:val="18"/>
              </w:rPr>
            </w:pPr>
            <w:r>
              <w:rPr>
                <w:b/>
                <w:sz w:val="18"/>
                <w:szCs w:val="18"/>
              </w:rPr>
              <w:t>　</w:t>
            </w:r>
          </w:p>
        </w:tc>
        <w:tc>
          <w:tcPr>
            <w:tcW w:w="365" w:type="dxa"/>
          </w:tcPr>
          <w:p>
            <w:pPr>
              <w:pStyle w:val="DefaultParagraph"/>
              <w:rPr>
                <w:b/>
                <w:sz w:val="18"/>
                <w:szCs w:val="18"/>
              </w:rPr>
            </w:pPr>
            <w:r>
              <w:rPr>
                <w:b/>
                <w:sz w:val="18"/>
                <w:szCs w:val="18"/>
              </w:rPr>
              <w:t>B．</w:t>
            </w:r>
          </w:p>
        </w:tc>
        <w:tc>
          <w:tcPr>
            <w:tcW w:w="8939" w:type="dxa"/>
            <w:gridSpan w:val="6"/>
          </w:tcPr>
          <w:p>
            <w:pPr>
              <w:pStyle w:val="DefaultParagraph"/>
              <w:rPr>
                <w:b/>
                <w:sz w:val="18"/>
                <w:szCs w:val="18"/>
              </w:rPr>
            </w:pPr>
            <w:r>
              <w:rPr>
                <w:b/>
                <w:sz w:val="18"/>
                <w:szCs w:val="18"/>
              </w:rPr>
              <w:t>不同类型的刺激引起不同类型的感觉，原因是感受器和感觉中枢的不同</w:t>
            </w:r>
          </w:p>
        </w:tc>
      </w:tr>
      <w:tr>
        <w:tblPrEx>
          <w:tblW w:w="0" w:type="auto"/>
          <w:jc w:val="center"/>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rPr>
          <w:jc w:val="center"/>
        </w:trPr>
        <w:tc>
          <w:tcPr>
            <w:tcW w:w="8" w:type="dxa"/>
          </w:tcPr>
          <w:p>
            <w:pPr>
              <w:pStyle w:val="DefaultParagraph"/>
              <w:rPr>
                <w:b/>
                <w:sz w:val="18"/>
                <w:szCs w:val="18"/>
              </w:rPr>
            </w:pPr>
            <w:r>
              <w:rPr>
                <w:b/>
                <w:sz w:val="18"/>
                <w:szCs w:val="18"/>
              </w:rPr>
              <w:t>　</w:t>
            </w:r>
          </w:p>
        </w:tc>
        <w:tc>
          <w:tcPr>
            <w:tcW w:w="365" w:type="dxa"/>
          </w:tcPr>
          <w:p>
            <w:pPr>
              <w:pStyle w:val="DefaultParagraph"/>
              <w:rPr>
                <w:b/>
                <w:sz w:val="18"/>
                <w:szCs w:val="18"/>
              </w:rPr>
            </w:pPr>
            <w:r>
              <w:rPr>
                <w:b/>
                <w:sz w:val="18"/>
                <w:szCs w:val="18"/>
              </w:rPr>
              <w:t>C．</w:t>
            </w:r>
          </w:p>
        </w:tc>
        <w:tc>
          <w:tcPr>
            <w:tcW w:w="8939" w:type="dxa"/>
            <w:gridSpan w:val="6"/>
          </w:tcPr>
          <w:p>
            <w:pPr>
              <w:pStyle w:val="DefaultParagraph"/>
              <w:rPr>
                <w:b/>
                <w:sz w:val="18"/>
                <w:szCs w:val="18"/>
              </w:rPr>
            </w:pPr>
            <w:r>
              <w:rPr>
                <w:b/>
                <w:sz w:val="18"/>
                <w:szCs w:val="18"/>
              </w:rPr>
              <w:t>不同强度的刺激通过改变传入神经上电信号的频率，导致感觉强度的差异</w:t>
            </w:r>
          </w:p>
        </w:tc>
      </w:tr>
      <w:tr>
        <w:tblPrEx>
          <w:tblW w:w="0" w:type="auto"/>
          <w:jc w:val="center"/>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rPr>
          <w:jc w:val="center"/>
        </w:trPr>
        <w:tc>
          <w:tcPr>
            <w:tcW w:w="8" w:type="dxa"/>
          </w:tcPr>
          <w:p>
            <w:pPr>
              <w:pStyle w:val="DefaultParagraph"/>
              <w:rPr>
                <w:b/>
                <w:sz w:val="18"/>
                <w:szCs w:val="18"/>
              </w:rPr>
            </w:pPr>
            <w:r>
              <w:rPr>
                <w:b/>
                <w:sz w:val="18"/>
                <w:szCs w:val="18"/>
              </w:rPr>
              <w:t>　</w:t>
            </w:r>
          </w:p>
        </w:tc>
        <w:tc>
          <w:tcPr>
            <w:tcW w:w="365" w:type="dxa"/>
          </w:tcPr>
          <w:p>
            <w:pPr>
              <w:pStyle w:val="DefaultParagraph"/>
              <w:rPr>
                <w:b/>
                <w:sz w:val="18"/>
                <w:szCs w:val="18"/>
              </w:rPr>
            </w:pPr>
            <w:r>
              <w:rPr>
                <w:b/>
                <w:sz w:val="18"/>
                <w:szCs w:val="18"/>
              </w:rPr>
              <w:t>D．</w:t>
            </w:r>
          </w:p>
        </w:tc>
        <w:tc>
          <w:tcPr>
            <w:tcW w:w="8939" w:type="dxa"/>
            <w:gridSpan w:val="6"/>
          </w:tcPr>
          <w:p>
            <w:pPr>
              <w:pStyle w:val="DefaultParagraph"/>
              <w:rPr>
                <w:b/>
                <w:sz w:val="18"/>
                <w:szCs w:val="18"/>
              </w:rPr>
            </w:pPr>
            <w:r>
              <w:rPr>
                <w:b/>
                <w:sz w:val="18"/>
                <w:szCs w:val="18"/>
              </w:rPr>
              <w:t>从刺激到感觉形成，在完整的信号通路中都以电信号为信息编码形式</w:t>
            </w:r>
          </w:p>
        </w:tc>
      </w:tr>
    </w:tbl>
    <w:p>
      <w:pPr>
        <w:pStyle w:val="DefaultParagraph"/>
        <w:rPr>
          <w:b/>
        </w:rPr>
      </w:pPr>
      <w:r>
        <w:rPr>
          <w:b/>
        </w:rPr>
        <w:t>11．如图能正确反映人体内促甲状腺激素（TSH）与甲状腺激素（TH）含量变化的是（　　）</w: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6"/>
        <w:gridCol w:w="1897"/>
        <w:gridCol w:w="216"/>
        <w:gridCol w:w="1897"/>
        <w:gridCol w:w="216"/>
        <w:gridCol w:w="1897"/>
        <w:gridCol w:w="216"/>
        <w:gridCol w:w="1898"/>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pPr>
            <w:r>
              <w:t>　</w:t>
            </w:r>
          </w:p>
        </w:tc>
        <w:tc>
          <w:tcPr>
            <w:tcW w:w="330" w:type="dxa"/>
          </w:tcPr>
          <w:p>
            <w:pPr>
              <w:pStyle w:val="DefaultParagraph"/>
            </w:pPr>
            <w:r>
              <w:t>A．</w:t>
            </w:r>
          </w:p>
        </w:tc>
        <w:tc>
          <w:tcPr>
            <w:tcW w:w="1150" w:type="pct"/>
          </w:tcPr>
          <w:p>
            <w:pPr>
              <w:pStyle w:val="DefaultParagraph"/>
            </w:pPr>
            <w:r>
              <w:pict>
                <v:shape id="Picture24" o:spid="_x0000_i1037" type="#_x0000_t75" style="width:67.45pt;height:73.5pt;mso-position-horizontal-relative:page;mso-position-vertical-relative:page;mso-wrap-style:square" filled="f" stroked="f">
                  <v:stroke linestyle="single"/>
                  <v:imagedata r:id="rId16" o:title=""/>
                  <v:path o:extrusionok="f"/>
                  <o:lock v:ext="edit" aspectratio="t"/>
                </v:shape>
              </w:pict>
            </w:r>
          </w:p>
        </w:tc>
        <w:tc>
          <w:tcPr>
            <w:tcW w:w="330" w:type="dxa"/>
          </w:tcPr>
          <w:p>
            <w:pPr>
              <w:pStyle w:val="DefaultParagraph"/>
            </w:pPr>
            <w:r>
              <w:t>B．</w:t>
            </w:r>
          </w:p>
        </w:tc>
        <w:tc>
          <w:tcPr>
            <w:tcW w:w="1150" w:type="pct"/>
          </w:tcPr>
          <w:p>
            <w:pPr>
              <w:pStyle w:val="DefaultParagraph"/>
            </w:pPr>
            <w:r>
              <w:pict>
                <v:shape id="Picture24" o:spid="_x0000_i1038" type="#_x0000_t75" style="width:67.45pt;height:72.7pt;mso-position-horizontal-relative:page;mso-position-vertical-relative:page;mso-wrap-style:square" filled="f" stroked="f">
                  <v:stroke linestyle="single"/>
                  <v:imagedata r:id="rId17" o:title=""/>
                  <v:path o:extrusionok="f"/>
                  <o:lock v:ext="edit" aspectratio="t"/>
                </v:shape>
              </w:pict>
            </w:r>
          </w:p>
        </w:tc>
        <w:tc>
          <w:tcPr>
            <w:tcW w:w="330" w:type="dxa"/>
          </w:tcPr>
          <w:p>
            <w:pPr>
              <w:pStyle w:val="DefaultParagraph"/>
            </w:pPr>
            <w:r>
              <w:t>C．</w:t>
            </w:r>
          </w:p>
        </w:tc>
        <w:tc>
          <w:tcPr>
            <w:tcW w:w="1150" w:type="pct"/>
          </w:tcPr>
          <w:p>
            <w:pPr>
              <w:pStyle w:val="DefaultParagraph"/>
            </w:pPr>
            <w:r>
              <w:pict>
                <v:shape id="Picture24" o:spid="_x0000_i1039" type="#_x0000_t75" style="width:67.45pt;height:71.95pt;mso-position-horizontal-relative:page;mso-position-vertical-relative:page;mso-wrap-style:square" filled="f" stroked="f">
                  <v:stroke linestyle="single"/>
                  <v:imagedata r:id="rId18" o:title=""/>
                  <v:path o:extrusionok="f"/>
                  <o:lock v:ext="edit" aspectratio="t"/>
                </v:shape>
              </w:pict>
            </w:r>
          </w:p>
        </w:tc>
        <w:tc>
          <w:tcPr>
            <w:tcW w:w="330" w:type="dxa"/>
          </w:tcPr>
          <w:p>
            <w:pPr>
              <w:pStyle w:val="DefaultParagraph"/>
            </w:pPr>
            <w:r>
              <w:t>D．</w:t>
            </w:r>
          </w:p>
        </w:tc>
        <w:tc>
          <w:tcPr>
            <w:tcW w:w="1150" w:type="pct"/>
          </w:tcPr>
          <w:p>
            <w:pPr>
              <w:pStyle w:val="DefaultParagraph"/>
            </w:pPr>
            <w:r>
              <w:pict>
                <v:shape id="Picture24" o:spid="_x0000_i1040" type="#_x0000_t75" style="width:67.45pt;height:73.5pt;mso-position-horizontal-relative:page;mso-position-vertical-relative:page;mso-wrap-style:square" filled="f" stroked="f">
                  <v:stroke linestyle="single"/>
                  <v:imagedata r:id="rId19" o:title=""/>
                  <v:path o:extrusionok="f"/>
                  <o:lock v:ext="edit" aspectratio="t"/>
                </v:shape>
              </w:pict>
            </w:r>
          </w:p>
        </w:tc>
      </w:tr>
    </w:tbl>
    <w:p>
      <w:pPr>
        <w:pStyle w:val="DefaultParagraph"/>
        <w:rPr>
          <w:b/>
          <w:szCs w:val="21"/>
        </w:rPr>
      </w:pPr>
      <w:r>
        <w:rPr>
          <w:b/>
          <w:szCs w:val="21"/>
        </w:rPr>
        <w:t>12．将定量的放射性同位素标记的胰岛素、定量的抗胰岛素抗体与待检测的血液混合，待检测血液中的胰岛素就会与带标记胰岛素竞争，与抗胰岛素抗体结合；再将形成的“抗原﹣抗体”复合物分离出来，检测其放射性强度．下列相关叙述不正确的是（　　）</w: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可以用放射性同位素</w:t>
            </w:r>
            <w:r>
              <w:rPr>
                <w:b/>
                <w:szCs w:val="21"/>
                <w:vertAlign w:val="superscript"/>
              </w:rPr>
              <w:t>35</w:t>
            </w:r>
            <w:r>
              <w:rPr>
                <w:b/>
                <w:szCs w:val="21"/>
              </w:rPr>
              <w:t>S来标记胰岛素</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该方法应用的是抗原与抗体特异性结合的原理</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利用该方法可以诊断糖尿病患者病因是否是胰岛素分泌不足</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“抗原﹣抗体”复合物放射性越强，说明待测血液中胰岛素含量越高</w:t>
            </w:r>
          </w:p>
        </w:tc>
      </w:tr>
    </w:tbl>
    <w:p>
      <w:pPr>
        <w:pStyle w:val="DefaultParagraph"/>
        <w:rPr>
          <w:b/>
          <w:szCs w:val="21"/>
        </w:rPr>
      </w:pPr>
      <w:r>
        <w:rPr>
          <w:b/>
          <w:szCs w:val="21"/>
        </w:rPr>
        <w:t>13．如图为甲状腺激素的分泌凋节示意图，其中a、b和c表示人体内三种内分泌腺，①、②和③表示三种不同的激素．下列叙述错误的是（　　）</w:t>
      </w:r>
    </w:p>
    <w:p>
      <w:pPr>
        <w:pStyle w:val="DefaultParagraph"/>
        <w:rPr>
          <w:b/>
          <w:szCs w:val="21"/>
        </w:rPr>
      </w:pPr>
      <w:r>
        <w:rPr>
          <w:b/>
          <w:szCs w:val="21"/>
        </w:rPr>
        <w:pict>
          <v:shape id="Picture24" o:spid="_x0000_i1041" type="#_x0000_t75" style="width:149.1pt;height:42.74pt;mso-position-horizontal-relative:page;mso-position-vertical-relative:page;mso-wrap-style:square" filled="f" stroked="f">
            <v:stroke linestyle="single"/>
            <v:imagedata r:id="rId20" o:title=""/>
            <v:path o:extrusionok="f"/>
            <o:lock v:ext="edit" aspectratio="t"/>
          </v:shape>
        </w:pic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a表示垂体，b表示甲状腺，c表示下丘脑</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激素③可作用于多种器官</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血液中激素③水平降低会引起激素①分泌减少</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幼年时激素②和③过少会导致成年后身体矮小</w:t>
            </w:r>
          </w:p>
        </w:tc>
      </w:tr>
    </w:tbl>
    <w:p>
      <w:pPr>
        <w:pStyle w:val="DefaultParagraph"/>
        <w:rPr>
          <w:b/>
          <w:szCs w:val="21"/>
        </w:rPr>
      </w:pPr>
      <w:r>
        <w:rPr>
          <w:b/>
          <w:szCs w:val="21"/>
        </w:rPr>
        <w:t>14．如图表示人体生命活动调节的一种方式，相关叙述不正确的是（　　）</w:t>
      </w:r>
    </w:p>
    <w:p>
      <w:pPr>
        <w:pStyle w:val="DefaultParagraph"/>
        <w:rPr>
          <w:b/>
          <w:szCs w:val="21"/>
        </w:rPr>
      </w:pPr>
      <w:r>
        <w:rPr>
          <w:b/>
          <w:szCs w:val="21"/>
        </w:rPr>
        <w:pict>
          <v:shape id="Picture24" o:spid="_x0000_i1042" type="#_x0000_t75" style="width:238.55pt;height:21.74pt;mso-position-horizontal-relative:page;mso-position-vertical-relative:page;mso-wrap-style:square" filled="f" stroked="f">
            <v:stroke linestyle="single"/>
            <v:imagedata r:id="rId21" o:title=""/>
            <v:path o:extrusionok="f"/>
            <o:lock v:ext="edit" aspectratio="t"/>
          </v:shape>
        </w:pic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若分泌物为促甲状腺激素释放激素，则分泌细胞位于下丘脑中</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若分泌物为促甲状腺激素，则甲状腺为靶器官</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若分泌物为甲状腺激素，则可直接反馈调节的靶器官是垂体和甲状腺</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若分泌物为甲状腺激素，则可反馈调节下丘脑细胞的分泌</w:t>
            </w:r>
          </w:p>
        </w:tc>
      </w:tr>
    </w:tbl>
    <w:p>
      <w:pPr>
        <w:pStyle w:val="DefaultParagraph"/>
        <w:rPr>
          <w:b/>
          <w:szCs w:val="21"/>
        </w:rPr>
      </w:pPr>
      <w:r>
        <w:rPr>
          <w:b/>
          <w:szCs w:val="21"/>
        </w:rPr>
        <w:t>15．为验证甲状腺激素具有促进个体发育的功能，某实验小组的同学将一正常幼年家兔的甲状腺摘除并缝合后进行观察．则与该组对照的一组应设为（　　）</w: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用一成年的家兔做相同的实验</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用一相似的幼年家兔在相同的环境中观察</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用一相似的幼年家兔在颈部切开伤口后缝合，在相同的环境中观察</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用另一相似的幼年家兔做相同实验，外源补充甲状腺激素并在相同的环境中观察</w:t>
            </w:r>
          </w:p>
        </w:tc>
      </w:tr>
    </w:tbl>
    <w:p>
      <w:pPr>
        <w:pStyle w:val="DefaultParagraph"/>
        <w:rPr>
          <w:b/>
          <w:szCs w:val="21"/>
        </w:rPr>
      </w:pPr>
      <w:r>
        <w:rPr>
          <w:b/>
          <w:szCs w:val="21"/>
        </w:rPr>
        <w:t>16．下面是与促胰液素发现过程有关的四个实验，有关分析不正确的是（　　）</w:t>
      </w:r>
    </w:p>
    <w:p>
      <w:pPr>
        <w:pStyle w:val="DefaultParagraph"/>
        <w:rPr>
          <w:b/>
          <w:szCs w:val="21"/>
        </w:rPr>
      </w:pPr>
      <w:r>
        <w:rPr>
          <w:b/>
          <w:szCs w:val="21"/>
        </w:rPr>
        <w:t>①稀盐酸→小肠肠腔→胰腺分泌胰液</w:t>
      </w:r>
    </w:p>
    <w:p>
      <w:pPr>
        <w:pStyle w:val="DefaultParagraph"/>
        <w:rPr>
          <w:b/>
          <w:szCs w:val="21"/>
        </w:rPr>
      </w:pPr>
      <w:r>
        <w:rPr>
          <w:b/>
          <w:szCs w:val="21"/>
        </w:rPr>
        <w:t>②稀盐酸→静脉血液→胰液不分泌</w:t>
      </w:r>
    </w:p>
    <w:p>
      <w:pPr>
        <w:pStyle w:val="DefaultParagraph"/>
        <w:rPr>
          <w:b/>
          <w:szCs w:val="21"/>
        </w:rPr>
      </w:pPr>
      <w:r>
        <w:rPr>
          <w:b/>
          <w:szCs w:val="21"/>
        </w:rPr>
        <w:t>③稀盐酸→小肠肠腔（去除神经）→胰腺分泌胰液</w:t>
      </w:r>
    </w:p>
    <w:p>
      <w:pPr>
        <w:pStyle w:val="DefaultParagraph"/>
        <w:rPr>
          <w:b/>
          <w:szCs w:val="21"/>
        </w:rPr>
      </w:pPr>
      <w:r>
        <w:rPr>
          <w:b/>
          <w:szCs w:val="21"/>
        </w:rPr>
        <w:t>④小肠黏膜+稀盐酸+沙子</w:t>
      </w:r>
      <w:r>
        <w:rPr>
          <w:b/>
          <w:position w:val="-1"/>
          <w:szCs w:val="21"/>
        </w:rPr>
        <w:pict>
          <v:shape id="图片 15" o:spid="_x0000_i1043" type="#_x0000_t75" style="width:20.99pt;height:14.24pt;mso-position-horizontal-relative:page;mso-position-vertical-relative:page;mso-wrap-style:square" filled="f" stroked="f">
            <v:stroke linestyle="single"/>
            <v:imagedata r:id="rId22" o:title="菁优网-jyeoo"/>
            <v:path o:extrusionok="f"/>
            <o:lock v:ext="edit" aspectratio="t"/>
          </v:shape>
        </w:pict>
      </w:r>
      <w:r>
        <w:rPr>
          <w:b/>
          <w:szCs w:val="21"/>
        </w:rPr>
        <w:t>制成提取液</w:t>
      </w:r>
      <w:r>
        <w:rPr>
          <w:b/>
          <w:position w:val="-1"/>
          <w:szCs w:val="21"/>
        </w:rPr>
        <w:pict>
          <v:shape id="图片 16" o:spid="_x0000_i1044" type="#_x0000_t75" style="width:20.99pt;height:14.24pt;mso-position-horizontal-relative:page;mso-position-vertical-relative:page;mso-wrap-style:square" filled="f" stroked="f">
            <v:stroke linestyle="single"/>
            <v:imagedata r:id="rId23" o:title="菁优网-jyeoo"/>
            <v:path o:extrusionok="f"/>
            <o:lock v:ext="edit" aspectratio="t"/>
          </v:shape>
        </w:pict>
      </w:r>
      <w:r>
        <w:rPr>
          <w:b/>
          <w:szCs w:val="21"/>
        </w:rPr>
        <w:t>静脉血液→胰腺分泌胰液．</w: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①与②组成的实验自变量是稀盐酸刺激的部位</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①与③对比说明胰液分泌不受神经的调节</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①②③④组成的实验说明胰液分泌受小肠黏膜产生的物质经血液运输来调节</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要证明胰液分泌受不受神经的调节应该再设计实验继续探究</w:t>
            </w:r>
          </w:p>
        </w:tc>
      </w:tr>
    </w:tbl>
    <w:p>
      <w:pPr>
        <w:pStyle w:val="DefaultParagraph"/>
        <w:rPr>
          <w:b/>
          <w:szCs w:val="21"/>
        </w:rPr>
      </w:pPr>
      <w:r>
        <w:rPr>
          <w:b/>
          <w:szCs w:val="21"/>
        </w:rPr>
        <w:t>17．下列有关物质在生物体内运输的说法中正确的是（　　）</w: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动物内不存在O</w:t>
            </w:r>
            <w:r>
              <w:rPr>
                <w:b/>
                <w:szCs w:val="21"/>
                <w:vertAlign w:val="subscript"/>
              </w:rPr>
              <w:t>2</w:t>
            </w:r>
            <w:r>
              <w:rPr>
                <w:b/>
                <w:szCs w:val="21"/>
              </w:rPr>
              <w:t>从细胞扩散到内环境的过程</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人体内存在两种内分泌腺互为靶器官的情况</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动物体细胞只能吸收葡萄糖，不能释放葡萄糖</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生长素只能从高浓度一端向低浓度一端运输</w:t>
            </w:r>
          </w:p>
        </w:tc>
      </w:tr>
    </w:tbl>
    <w:p>
      <w:pPr>
        <w:pStyle w:val="DefaultParagraph"/>
        <w:rPr>
          <w:b/>
          <w:szCs w:val="21"/>
        </w:rPr>
      </w:pPr>
      <w:r>
        <w:rPr>
          <w:b/>
          <w:szCs w:val="21"/>
        </w:rPr>
        <w:t>18．图中细胞A、B、C所示为组成人体某种器官的细胞所处生活环境及其有关生理活动，以下表述正确的是（　　）</w:t>
      </w:r>
    </w:p>
    <w:p>
      <w:pPr>
        <w:pStyle w:val="DefaultParagraph"/>
        <w:rPr>
          <w:b/>
          <w:szCs w:val="21"/>
        </w:rPr>
      </w:pPr>
      <w:r>
        <w:rPr>
          <w:b/>
          <w:szCs w:val="21"/>
        </w:rPr>
        <w:pict>
          <v:shape id="Picture24" o:spid="_x0000_i1045" type="#_x0000_t75" style="width:150.75pt;height:101.15pt;mso-position-horizontal-relative:page;mso-position-vertical-relative:page;mso-wrap-style:square" filled="f" stroked="f">
            <v:stroke linestyle="single"/>
            <v:imagedata r:id="rId24" o:title=""/>
            <v:path o:extrusionok="f"/>
            <o:lock v:ext="edit" aspectratio="t"/>
          </v:shape>
        </w:pic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在细胞A中的多糖是肌糖原，促进图中①过程的激素主要是胰高血糖素</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细胞C中，⑨过程合成的甘油三酯在低密度脂蛋白的携带下运送到血液中，成为血脂</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细胞B中所示的生命活动⑧主要在线粒体中实现</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细胞B中所示生理活动过程3产生的是人体的必需氨基酸</w:t>
            </w:r>
          </w:p>
        </w:tc>
      </w:tr>
    </w:tbl>
    <w:p>
      <w:pPr>
        <w:pStyle w:val="DefaultParagraph"/>
        <w:rPr>
          <w:b/>
          <w:szCs w:val="21"/>
        </w:rPr>
      </w:pPr>
      <w:r>
        <w:rPr>
          <w:b/>
          <w:szCs w:val="21"/>
        </w:rPr>
        <w:t>19．如图为糖尿病人血糖调节的部分过程，血液中存在异常抗体1或抗体2．下列有关说法不正确的是（　　）</w:t>
      </w:r>
    </w:p>
    <w:p>
      <w:pPr>
        <w:pStyle w:val="DefaultParagraph"/>
        <w:rPr>
          <w:b/>
          <w:szCs w:val="21"/>
        </w:rPr>
      </w:pPr>
      <w:r>
        <w:rPr>
          <w:b/>
          <w:szCs w:val="21"/>
        </w:rPr>
        <w:pict>
          <v:shape id="Picture24" o:spid="_x0000_i1046" type="#_x0000_t75" style="width:258.05pt;height:91.5pt;mso-position-horizontal-relative:page;mso-position-vertical-relative:page;mso-wrap-style:square" filled="f" stroked="f">
            <v:stroke linestyle="single"/>
            <v:imagedata r:id="rId25" o:title=""/>
            <v:path o:extrusionok="f"/>
            <o:lock v:ext="edit" aspectratio="t"/>
          </v:shape>
        </w:pic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若某患者体内有抗体2，则抗体2和胰岛素都属于该患者内环境的成分</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若某糖尿病患者血液中胰岛素含量正常，则其患病最可能类似于图中抗体2所致．从免疫学的角度分析，属于自身免疫病</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图中的神经递质是以胞吐的方式从突触前膜释放到突触间隙，作用于胰岛B细胞</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抗体是浆细胞合成分泌的，浆细胞能特异性识别抗原并增殖分化成记忆细胞</w:t>
            </w:r>
          </w:p>
        </w:tc>
      </w:tr>
    </w:tbl>
    <w:p>
      <w:pPr>
        <w:pStyle w:val="DefaultParagraph"/>
        <w:rPr>
          <w:b/>
          <w:szCs w:val="21"/>
        </w:rPr>
      </w:pPr>
      <w:r>
        <w:rPr>
          <w:b/>
          <w:szCs w:val="21"/>
        </w:rPr>
        <w:t>20．下列有关细胞结构和功能的叙述不正确的是（　　）</w: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能将无机物转化成有机物的生物细胞一定含有核糖体</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神经细胞轴突末梢形成的突起释放神经递质</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细胞间进行信息交流时可依赖于细胞膜上的特异性受体</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效应T细胞与癌变细胞密切接触可导致癌变细胞坏死并裂解</w:t>
            </w:r>
          </w:p>
        </w:tc>
      </w:tr>
    </w:tbl>
    <w:p>
      <w:pPr>
        <w:pStyle w:val="DefaultParagraph"/>
        <w:rPr>
          <w:b/>
          <w:szCs w:val="21"/>
        </w:rPr>
      </w:pPr>
      <w:r>
        <w:rPr>
          <w:b/>
          <w:szCs w:val="21"/>
        </w:rPr>
        <w:t>21．下列有关特异性免疫的叙述，正确的是（　　）</w: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类风湿性关节炎等自身免疫病不属于特异性免疫</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在抗原和淋巴因子的共同作用下，B淋巴细胞可以直接分化为浆细胞</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在体液免疫过程中，每个浆细胞只能分泌一种特异性抗体</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甲型H1N1流感病毒侵入机体细胞后进行的特异性免疫是细胞免疫，所以机体不需要合成其相应的抗体</w:t>
            </w:r>
          </w:p>
        </w:tc>
      </w:tr>
    </w:tbl>
    <w:p>
      <w:pPr>
        <w:pStyle w:val="DefaultParagraph"/>
        <w:rPr>
          <w:b/>
          <w:szCs w:val="21"/>
        </w:rPr>
      </w:pPr>
      <w:r>
        <w:rPr>
          <w:b/>
          <w:szCs w:val="21"/>
        </w:rPr>
        <w:t>22． 2014年西非地区爆发了埃博拉疫情．埃博拉病毒（EBV）是一种RNA病毒，侵入人体后发生免疫反应，下列叙述正确的是（　　）</w: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350"/>
        <w:gridCol w:w="8103"/>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8" w:type="dxa"/>
          </w:tcPr>
          <w:p>
            <w:pPr>
              <w:pStyle w:val="DefaultParagraph"/>
              <w:rPr>
                <w:b/>
                <w:szCs w:val="21"/>
              </w:rPr>
            </w:pPr>
            <w:r>
              <w:rPr>
                <w:b/>
                <w:szCs w:val="21"/>
              </w:rPr>
              <w:t>　</w:t>
            </w:r>
          </w:p>
        </w:tc>
        <w:tc>
          <w:tcPr>
            <w:tcW w:w="365" w:type="dxa"/>
          </w:tcPr>
          <w:p>
            <w:pPr>
              <w:pStyle w:val="DefaultParagraph"/>
              <w:rPr>
                <w:b/>
                <w:szCs w:val="21"/>
              </w:rPr>
            </w:pPr>
            <w:r>
              <w:rPr>
                <w:b/>
                <w:szCs w:val="21"/>
              </w:rPr>
              <w:t>A．</w:t>
            </w:r>
          </w:p>
        </w:tc>
        <w:tc>
          <w:tcPr>
            <w:tcW w:w="8939" w:type="dxa"/>
          </w:tcPr>
          <w:p>
            <w:pPr>
              <w:pStyle w:val="DefaultParagraph"/>
              <w:rPr>
                <w:b/>
                <w:szCs w:val="21"/>
              </w:rPr>
            </w:pPr>
            <w:r>
              <w:rPr>
                <w:b/>
                <w:szCs w:val="21"/>
              </w:rPr>
              <w:t>EBV被吞噬细胞特异性识别，产生特异性免疫反应</w:t>
            </w:r>
          </w:p>
        </w:tc>
      </w:tr>
      <w:tr>
        <w:tblPrEx>
          <w:tblW w:w="5000" w:type="pct"/>
          <w:tblInd w:w="-1" w:type="dxa"/>
          <w:tblCellMar>
            <w:top w:w="0" w:type="dxa"/>
            <w:left w:w="0" w:type="dxa"/>
            <w:bottom w:w="0" w:type="dxa"/>
            <w:right w:w="0" w:type="dxa"/>
          </w:tblCellMar>
          <w:tblLook w:val="0000"/>
        </w:tblPrEx>
        <w:tc>
          <w:tcPr>
            <w:tcW w:w="8" w:type="dxa"/>
          </w:tcPr>
          <w:p>
            <w:pPr>
              <w:pStyle w:val="DefaultParagraph"/>
              <w:rPr>
                <w:b/>
                <w:szCs w:val="21"/>
              </w:rPr>
            </w:pPr>
            <w:r>
              <w:rPr>
                <w:b/>
                <w:szCs w:val="21"/>
              </w:rPr>
              <w:t>　</w:t>
            </w:r>
          </w:p>
        </w:tc>
        <w:tc>
          <w:tcPr>
            <w:tcW w:w="365" w:type="dxa"/>
          </w:tcPr>
          <w:p>
            <w:pPr>
              <w:pStyle w:val="DefaultParagraph"/>
              <w:rPr>
                <w:b/>
                <w:szCs w:val="21"/>
              </w:rPr>
            </w:pPr>
            <w:r>
              <w:rPr>
                <w:b/>
                <w:szCs w:val="21"/>
              </w:rPr>
              <w:t>B．</w:t>
            </w:r>
          </w:p>
        </w:tc>
        <w:tc>
          <w:tcPr>
            <w:tcW w:w="8939" w:type="dxa"/>
          </w:tcPr>
          <w:p>
            <w:pPr>
              <w:pStyle w:val="DefaultParagraph"/>
              <w:rPr>
                <w:b/>
                <w:szCs w:val="21"/>
              </w:rPr>
            </w:pPr>
            <w:r>
              <w:rPr>
                <w:b/>
                <w:szCs w:val="21"/>
              </w:rPr>
              <w:t>EBV刺激T细胞分泌淋巴因子与该病毒结合</w:t>
            </w:r>
          </w:p>
        </w:tc>
      </w:tr>
      <w:tr>
        <w:tblPrEx>
          <w:tblW w:w="5000" w:type="pct"/>
          <w:tblInd w:w="-1" w:type="dxa"/>
          <w:tblCellMar>
            <w:top w:w="0" w:type="dxa"/>
            <w:left w:w="0" w:type="dxa"/>
            <w:bottom w:w="0" w:type="dxa"/>
            <w:right w:w="0" w:type="dxa"/>
          </w:tblCellMar>
          <w:tblLook w:val="0000"/>
        </w:tblPrEx>
        <w:tc>
          <w:tcPr>
            <w:tcW w:w="8" w:type="dxa"/>
          </w:tcPr>
          <w:p>
            <w:pPr>
              <w:pStyle w:val="DefaultParagraph"/>
              <w:rPr>
                <w:b/>
                <w:szCs w:val="21"/>
              </w:rPr>
            </w:pPr>
            <w:r>
              <w:rPr>
                <w:b/>
                <w:szCs w:val="21"/>
              </w:rPr>
              <w:t>　</w:t>
            </w:r>
          </w:p>
        </w:tc>
        <w:tc>
          <w:tcPr>
            <w:tcW w:w="365" w:type="dxa"/>
          </w:tcPr>
          <w:p>
            <w:pPr>
              <w:pStyle w:val="DefaultParagraph"/>
              <w:rPr>
                <w:b/>
                <w:szCs w:val="21"/>
              </w:rPr>
            </w:pPr>
            <w:r>
              <w:rPr>
                <w:b/>
                <w:szCs w:val="21"/>
              </w:rPr>
              <w:t>C．</w:t>
            </w:r>
          </w:p>
        </w:tc>
        <w:tc>
          <w:tcPr>
            <w:tcW w:w="8939" w:type="dxa"/>
          </w:tcPr>
          <w:p>
            <w:pPr>
              <w:pStyle w:val="DefaultParagraph"/>
              <w:rPr>
                <w:b/>
                <w:szCs w:val="21"/>
              </w:rPr>
            </w:pPr>
            <w:r>
              <w:rPr>
                <w:b/>
                <w:szCs w:val="21"/>
              </w:rPr>
              <w:t>在T细胞和EBV的共同刺激下，B细胞才能增殖、分化为浆细胞</w:t>
            </w:r>
          </w:p>
        </w:tc>
      </w:tr>
      <w:tr>
        <w:tblPrEx>
          <w:tblW w:w="5000" w:type="pct"/>
          <w:tblInd w:w="-1" w:type="dxa"/>
          <w:tblCellMar>
            <w:top w:w="0" w:type="dxa"/>
            <w:left w:w="0" w:type="dxa"/>
            <w:bottom w:w="0" w:type="dxa"/>
            <w:right w:w="0" w:type="dxa"/>
          </w:tblCellMar>
          <w:tblLook w:val="0000"/>
        </w:tblPrEx>
        <w:tc>
          <w:tcPr>
            <w:tcW w:w="8" w:type="dxa"/>
          </w:tcPr>
          <w:p>
            <w:pPr>
              <w:pStyle w:val="DefaultParagraph"/>
              <w:rPr>
                <w:b/>
                <w:szCs w:val="21"/>
              </w:rPr>
            </w:pPr>
            <w:r>
              <w:rPr>
                <w:b/>
                <w:szCs w:val="21"/>
              </w:rPr>
              <w:t>　</w:t>
            </w:r>
          </w:p>
        </w:tc>
        <w:tc>
          <w:tcPr>
            <w:tcW w:w="365" w:type="dxa"/>
          </w:tcPr>
          <w:p>
            <w:pPr>
              <w:pStyle w:val="DefaultParagraph"/>
              <w:rPr>
                <w:b/>
                <w:szCs w:val="21"/>
              </w:rPr>
            </w:pPr>
            <w:r>
              <w:rPr>
                <w:b/>
                <w:szCs w:val="21"/>
              </w:rPr>
              <w:t>D．</w:t>
            </w:r>
          </w:p>
        </w:tc>
        <w:tc>
          <w:tcPr>
            <w:tcW w:w="8939" w:type="dxa"/>
          </w:tcPr>
          <w:p>
            <w:pPr>
              <w:pStyle w:val="DefaultParagraph"/>
              <w:rPr>
                <w:b/>
                <w:szCs w:val="21"/>
              </w:rPr>
            </w:pPr>
            <w:r>
              <w:rPr>
                <w:b/>
                <w:szCs w:val="21"/>
              </w:rPr>
              <w:t>细胞免疫产生的效应T细胞可识别并破坏被EBV侵染的细胞</w:t>
            </w:r>
          </w:p>
        </w:tc>
      </w:tr>
    </w:tbl>
    <w:p>
      <w:pPr>
        <w:pStyle w:val="DefaultParagraph"/>
        <w:rPr>
          <w:b/>
          <w:szCs w:val="21"/>
        </w:rPr>
      </w:pPr>
      <w:r>
        <w:rPr>
          <w:b/>
          <w:szCs w:val="21"/>
        </w:rPr>
        <w:t>23．在发现生长素的研究历程中，詹森用实验证实胚芽鞘尖端产生的影响可以通过琼脂传递到尖端下部，他随后还做了进一步的实验，更加肯定了该影响为化学信号的猜想．他所做的实验是（　　）</w: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1896"/>
        <w:gridCol w:w="217"/>
        <w:gridCol w:w="1896"/>
        <w:gridCol w:w="217"/>
        <w:gridCol w:w="1896"/>
        <w:gridCol w:w="217"/>
        <w:gridCol w:w="1897"/>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1150" w:type="pct"/>
          </w:tcPr>
          <w:p>
            <w:pPr>
              <w:pStyle w:val="DefaultParagraph"/>
              <w:rPr>
                <w:b/>
                <w:szCs w:val="21"/>
              </w:rPr>
            </w:pPr>
            <w:r>
              <w:rPr>
                <w:b/>
                <w:szCs w:val="21"/>
              </w:rPr>
              <w:pict>
                <v:shape id="Picture24" o:spid="_x0000_i1047" type="#_x0000_t75" style="width:54.7pt;height:49.45pt;mso-position-horizontal-relative:page;mso-position-vertical-relative:page;mso-wrap-style:square" filled="f" stroked="f">
                  <v:stroke linestyle="single"/>
                  <v:imagedata r:id="rId26" o:title=""/>
                  <v:path o:extrusionok="f"/>
                  <o:lock v:ext="edit" aspectratio="t"/>
                </v:shape>
              </w:pict>
            </w:r>
          </w:p>
        </w:tc>
        <w:tc>
          <w:tcPr>
            <w:tcW w:w="330" w:type="dxa"/>
          </w:tcPr>
          <w:p>
            <w:pPr>
              <w:pStyle w:val="DefaultParagraph"/>
              <w:rPr>
                <w:b/>
                <w:szCs w:val="21"/>
              </w:rPr>
            </w:pPr>
            <w:r>
              <w:rPr>
                <w:b/>
                <w:szCs w:val="21"/>
              </w:rPr>
              <w:t>B．</w:t>
            </w:r>
          </w:p>
        </w:tc>
        <w:tc>
          <w:tcPr>
            <w:tcW w:w="1150" w:type="pct"/>
          </w:tcPr>
          <w:p>
            <w:pPr>
              <w:pStyle w:val="DefaultParagraph"/>
              <w:rPr>
                <w:b/>
                <w:szCs w:val="21"/>
              </w:rPr>
            </w:pPr>
            <w:r>
              <w:rPr>
                <w:b/>
                <w:szCs w:val="21"/>
              </w:rPr>
              <w:pict>
                <v:shape id="Picture24" o:spid="_x0000_i1048" type="#_x0000_t75" style="width:79.42pt;height:32.23pt;mso-position-horizontal-relative:page;mso-position-vertical-relative:page;mso-wrap-style:square" filled="f" stroked="f">
                  <v:stroke linestyle="single"/>
                  <v:imagedata r:id="rId27" o:title=""/>
                  <v:path o:extrusionok="f"/>
                  <o:lock v:ext="edit" aspectratio="t"/>
                </v:shape>
              </w:pict>
            </w:r>
          </w:p>
        </w:tc>
        <w:tc>
          <w:tcPr>
            <w:tcW w:w="330" w:type="dxa"/>
          </w:tcPr>
          <w:p>
            <w:pPr>
              <w:pStyle w:val="DefaultParagraph"/>
              <w:rPr>
                <w:b/>
                <w:szCs w:val="21"/>
              </w:rPr>
            </w:pPr>
            <w:r>
              <w:rPr>
                <w:b/>
                <w:szCs w:val="21"/>
              </w:rPr>
              <w:t>C．</w:t>
            </w:r>
          </w:p>
        </w:tc>
        <w:tc>
          <w:tcPr>
            <w:tcW w:w="1150" w:type="pct"/>
          </w:tcPr>
          <w:p>
            <w:pPr>
              <w:pStyle w:val="DefaultParagraph"/>
              <w:rPr>
                <w:b/>
                <w:szCs w:val="21"/>
              </w:rPr>
            </w:pPr>
            <w:r>
              <w:rPr>
                <w:b/>
                <w:szCs w:val="21"/>
              </w:rPr>
              <w:pict>
                <v:shape id="Picture24" o:spid="_x0000_i1049" type="#_x0000_t75" style="width:77.92pt;height:50.2pt;mso-position-horizontal-relative:page;mso-position-vertical-relative:page;mso-wrap-style:square" filled="f" stroked="f">
                  <v:stroke linestyle="single"/>
                  <v:imagedata r:id="rId28" o:title=""/>
                  <v:path o:extrusionok="f"/>
                  <o:lock v:ext="edit" aspectratio="t"/>
                </v:shape>
              </w:pict>
            </w:r>
          </w:p>
        </w:tc>
        <w:tc>
          <w:tcPr>
            <w:tcW w:w="330" w:type="dxa"/>
          </w:tcPr>
          <w:p>
            <w:pPr>
              <w:pStyle w:val="DefaultParagraph"/>
              <w:rPr>
                <w:b/>
                <w:szCs w:val="21"/>
              </w:rPr>
            </w:pPr>
            <w:r>
              <w:rPr>
                <w:b/>
                <w:szCs w:val="21"/>
              </w:rPr>
              <w:t>D．</w:t>
            </w:r>
          </w:p>
        </w:tc>
        <w:tc>
          <w:tcPr>
            <w:tcW w:w="1150" w:type="pct"/>
          </w:tcPr>
          <w:p>
            <w:pPr>
              <w:pStyle w:val="DefaultParagraph"/>
              <w:rPr>
                <w:b/>
                <w:szCs w:val="21"/>
              </w:rPr>
            </w:pPr>
            <w:r>
              <w:rPr>
                <w:b/>
                <w:szCs w:val="21"/>
              </w:rPr>
              <w:pict>
                <v:shape id="Picture24" o:spid="_x0000_i1050" type="#_x0000_t75" style="width:89.25pt;height:51pt;mso-position-horizontal-relative:page;mso-position-vertical-relative:page;mso-wrap-style:square" filled="f" stroked="f">
                  <v:stroke linestyle="single"/>
                  <v:imagedata r:id="rId29" o:title=""/>
                  <v:path o:extrusionok="f"/>
                  <o:lock v:ext="edit" aspectratio="t"/>
                </v:shape>
              </w:pict>
            </w:r>
          </w:p>
        </w:tc>
      </w:tr>
    </w:tbl>
    <w:p>
      <w:pPr>
        <w:pStyle w:val="DefaultParagraph"/>
        <w:rPr>
          <w:b/>
          <w:szCs w:val="21"/>
        </w:rPr>
      </w:pPr>
    </w:p>
    <w:p>
      <w:pPr>
        <w:pStyle w:val="DefaultParagraph"/>
        <w:rPr>
          <w:b/>
          <w:szCs w:val="21"/>
        </w:rPr>
      </w:pPr>
      <w:r>
        <w:rPr>
          <w:b/>
          <w:szCs w:val="21"/>
        </w:rPr>
        <w:t>　</w:t>
      </w:r>
    </w:p>
    <w:p>
      <w:pPr>
        <w:pStyle w:val="DefaultParagraph"/>
        <w:rPr>
          <w:b/>
          <w:szCs w:val="21"/>
        </w:rPr>
      </w:pPr>
      <w:r>
        <w:rPr>
          <w:b/>
          <w:szCs w:val="21"/>
        </w:rPr>
        <w:t>24．如图为用燕麦胚芽鞘进行的向光性实验，下列叙述中正确的是（　　）</w:t>
      </w:r>
    </w:p>
    <w:p>
      <w:pPr>
        <w:pStyle w:val="DefaultParagraph"/>
        <w:rPr>
          <w:b/>
          <w:szCs w:val="21"/>
        </w:rPr>
      </w:pPr>
      <w:r>
        <w:rPr>
          <w:b/>
          <w:szCs w:val="21"/>
        </w:rPr>
        <w:pict>
          <v:shape id="Picture24" o:spid="_x0000_i1051" type="#_x0000_t75" style="width:197.85pt;height:90.75pt;mso-position-horizontal-relative:page;mso-position-vertical-relative:page;mso-wrap-style:square" filled="f" stroked="f">
            <v:stroke linestyle="single"/>
            <v:imagedata r:id="rId30" o:title=""/>
            <v:path o:extrusionok="f"/>
            <o:lock v:ext="edit" aspectratio="t"/>
          </v:shape>
        </w:pic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①与③对照，说明胚芽鞘的生长与尖端有关</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②与③对照，说明向光弯曲生长与尖端有关</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②与④弯曲生长，与生长素分布不均有关</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②与⑤弯曲生长，与生长素的横向运输有关</w:t>
            </w:r>
          </w:p>
        </w:tc>
      </w:tr>
    </w:tbl>
    <w:p>
      <w:pPr>
        <w:pStyle w:val="DefaultParagraph"/>
        <w:rPr>
          <w:b/>
          <w:szCs w:val="21"/>
        </w:rPr>
      </w:pPr>
      <w:r>
        <w:rPr>
          <w:b/>
          <w:szCs w:val="21"/>
        </w:rPr>
        <w:t xml:space="preserve">25．如图表示多种植物激素对黄瓜幼苗生长的调节作用，据图判断下列说法不正确的是（　　） </w:t>
      </w:r>
      <w:r>
        <w:rPr>
          <w:b/>
          <w:szCs w:val="21"/>
        </w:rPr>
        <w:pict>
          <v:shape id="Picture24" o:spid="_x0000_i1052" type="#_x0000_t75" style="width:220.55pt;height:110.25pt;mso-position-horizontal-relative:page;mso-position-vertical-relative:page;mso-wrap-style:square" filled="f" stroked="f">
            <v:stroke linestyle="single"/>
            <v:imagedata r:id="rId31" o:title=""/>
            <v:path o:extrusionok="f"/>
            <o:lock v:ext="edit" aspectratio="t"/>
          </v:shape>
        </w:pic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①②③代表的植物激素分别是赤霉素、生长素、乙烯</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激素①②③在促进幼苗生长过程中具有协同作用</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a浓度的激素②抑制细胞伸长、b浓度的激素②促进细胞伸长，激素②的作用具有两重性</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在幼苗生长过程中，除了图中的激素①②③外还有其他植物激素的作用</w:t>
            </w:r>
          </w:p>
        </w:tc>
      </w:tr>
    </w:tbl>
    <w:p>
      <w:pPr>
        <w:pStyle w:val="DefaultParagraph"/>
        <w:rPr>
          <w:b/>
          <w:szCs w:val="21"/>
        </w:rPr>
      </w:pPr>
      <w:r>
        <w:rPr>
          <w:b/>
          <w:szCs w:val="21"/>
        </w:rPr>
        <w:t>26．下列利用植物生长调节剂不合理的例子是（　　）</w: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当葡萄长得小时，适当使用赤霉素类似物</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鲜花的叶子老化太快速时，适当使用细胞分裂素类似物</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水果未成熟时，适当使用乙烯类似物对其催熟</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杀除禾谷类田间茂盛的单子叶植物类杂草时，适当使用生长素类似物</w:t>
            </w:r>
          </w:p>
        </w:tc>
      </w:tr>
    </w:tbl>
    <w:p>
      <w:pPr>
        <w:pStyle w:val="DefaultParagraph"/>
        <w:rPr>
          <w:b/>
          <w:szCs w:val="21"/>
        </w:rPr>
      </w:pPr>
      <w:r>
        <w:rPr>
          <w:b/>
          <w:szCs w:val="21"/>
        </w:rPr>
        <w:t>27．将某植物幼苗分别培养在不同浓度生长素溶液中，再用相同的水平单侧光照射根部，测得根的生长情况及负向光性倾斜角度（α）如图所示．下列叙述错误的是（　　）</w:t>
      </w:r>
    </w:p>
    <w:p>
      <w:pPr>
        <w:pStyle w:val="DefaultParagraph"/>
        <w:rPr>
          <w:b/>
          <w:szCs w:val="21"/>
        </w:rPr>
      </w:pPr>
      <w:r>
        <w:rPr>
          <w:b/>
          <w:szCs w:val="21"/>
        </w:rPr>
        <w:pict>
          <v:shape id="Picture24" o:spid="_x0000_i1053" type="#_x0000_t75" style="width:405.8pt;height:107.19pt;mso-position-horizontal-relative:page;mso-position-vertical-relative:page;mso-wrap-style:square" filled="f" stroked="f">
            <v:stroke linestyle="single"/>
            <v:imagedata r:id="rId32" o:title=""/>
            <v:path o:extrusionok="f"/>
            <o:lock v:ext="edit" aspectratio="t"/>
          </v:shape>
        </w:pic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外源生长素对根负向光性倾斜角度影响较小的浓度是10</w:t>
            </w:r>
            <w:r>
              <w:rPr>
                <w:b/>
                <w:szCs w:val="21"/>
                <w:vertAlign w:val="superscript"/>
              </w:rPr>
              <w:t>﹣5</w:t>
            </w:r>
            <w:r>
              <w:rPr>
                <w:b/>
                <w:szCs w:val="21"/>
              </w:rPr>
              <w:t>mg/L</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既不促进，也不抑制根生长的外源生长素浓度在10</w:t>
            </w:r>
            <w:r>
              <w:rPr>
                <w:b/>
                <w:szCs w:val="21"/>
                <w:vertAlign w:val="superscript"/>
              </w:rPr>
              <w:t>﹣4</w:t>
            </w:r>
            <w:r>
              <w:rPr>
                <w:b/>
                <w:szCs w:val="21"/>
              </w:rPr>
              <w:t>～10</w:t>
            </w:r>
            <w:r>
              <w:rPr>
                <w:b/>
                <w:szCs w:val="21"/>
                <w:vertAlign w:val="superscript"/>
              </w:rPr>
              <w:t>﹣3</w:t>
            </w:r>
            <w:r>
              <w:rPr>
                <w:b/>
                <w:szCs w:val="21"/>
              </w:rPr>
              <w:t>mg/L之间</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施用1AA对根生长的作用都表现为低浓度促进、高浓度抑制</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根尖发生弯曲生长的间接原因可能是单侧光引起根尖两侧lAA含量的差异</w:t>
            </w:r>
          </w:p>
        </w:tc>
      </w:tr>
    </w:tbl>
    <w:p>
      <w:pPr>
        <w:pStyle w:val="DefaultParagraph"/>
        <w:rPr>
          <w:b/>
          <w:szCs w:val="21"/>
        </w:rPr>
      </w:pPr>
      <w:r>
        <w:rPr>
          <w:b/>
          <w:szCs w:val="21"/>
        </w:rPr>
        <w:t>28．如图表示生长素对根、芽和茎生长的影响，从此图中不能得到的结论是（　　）</w:t>
      </w:r>
      <w:r>
        <w:rPr>
          <w:b/>
          <w:szCs w:val="21"/>
        </w:rPr>
        <w:pict>
          <v:shape id="Picture24" o:spid="_x0000_i1054" type="#_x0000_t75" style="width:150.75pt;height:92.25pt;mso-position-horizontal-relative:page;mso-position-vertical-relative:page;mso-wrap-style:square" filled="f" stroked="f">
            <v:stroke linestyle="single"/>
            <v:imagedata r:id="rId33" o:title=""/>
            <v:path o:extrusionok="f"/>
            <o:lock v:ext="edit" aspectratio="t"/>
          </v:shape>
        </w:pic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生长素对三种器官的作用都是低浓度促进生长，高浓度抑制生长</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A、B、C对应的生长素浓度分别是促进根、芽、茎生长的最适宜浓度</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D点对应的生长素浓度能促进茎和芽的生长，抑制根的生长</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幼嫩细胞对生长素浓度敏感，成熟的细胞对生长素敏感性差</w:t>
            </w:r>
          </w:p>
        </w:tc>
      </w:tr>
    </w:tbl>
    <w:p>
      <w:pPr>
        <w:pStyle w:val="DefaultParagraph"/>
        <w:rPr>
          <w:b/>
          <w:szCs w:val="21"/>
        </w:rPr>
      </w:pPr>
      <w:r>
        <w:rPr>
          <w:b/>
          <w:szCs w:val="21"/>
        </w:rPr>
        <w:t>29．植物激素种类多样，调控机制复杂，同时植物激素和人工合成的类似化学物质在农业生产实践中也应用得非常广泛．下列有关植物激素和人工合成的类似化学物质的叙述正确的是（　　）</w:t>
      </w:r>
    </w:p>
    <w:tbl>
      <w:tblPr>
        <w:tblStyle w:val="TableNormal"/>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
      <w:tblGrid>
        <w:gridCol w:w="12"/>
        <w:gridCol w:w="217"/>
        <w:gridCol w:w="8236"/>
      </w:tblGrid>
      <w:tr>
        <w:tblPrEx>
          <w:tblW w:w="5000" w:type="pct"/>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A．</w:t>
            </w:r>
          </w:p>
        </w:tc>
        <w:tc>
          <w:tcPr>
            <w:tcW w:w="4900" w:type="pct"/>
          </w:tcPr>
          <w:p>
            <w:pPr>
              <w:pStyle w:val="DefaultParagraph"/>
              <w:rPr>
                <w:b/>
                <w:szCs w:val="21"/>
              </w:rPr>
            </w:pPr>
            <w:r>
              <w:rPr>
                <w:b/>
                <w:szCs w:val="21"/>
              </w:rPr>
              <w:t>幼根中细胞分裂素含量较高，但不含乙烯</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B．</w:t>
            </w:r>
          </w:p>
        </w:tc>
        <w:tc>
          <w:tcPr>
            <w:tcW w:w="4900" w:type="pct"/>
          </w:tcPr>
          <w:p>
            <w:pPr>
              <w:pStyle w:val="DefaultParagraph"/>
              <w:rPr>
                <w:b/>
                <w:szCs w:val="21"/>
              </w:rPr>
            </w:pPr>
            <w:r>
              <w:rPr>
                <w:b/>
                <w:szCs w:val="21"/>
              </w:rPr>
              <w:t>植物生长素促进生长的效应与其浓度及作用部位无关</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C．</w:t>
            </w:r>
          </w:p>
        </w:tc>
        <w:tc>
          <w:tcPr>
            <w:tcW w:w="4900" w:type="pct"/>
          </w:tcPr>
          <w:p>
            <w:pPr>
              <w:pStyle w:val="DefaultParagraph"/>
              <w:rPr>
                <w:b/>
                <w:szCs w:val="21"/>
              </w:rPr>
            </w:pPr>
            <w:r>
              <w:rPr>
                <w:b/>
                <w:szCs w:val="21"/>
              </w:rPr>
              <w:t>播种前用一定浓度的赤霉素溶液浸泡种子，以促进种子的萌发</w:t>
            </w:r>
          </w:p>
        </w:tc>
      </w:tr>
      <w:tr>
        <w:tblPrEx>
          <w:tblW w:w="5000" w:type="pct"/>
          <w:tblInd w:w="-1" w:type="dxa"/>
          <w:tblCellMar>
            <w:top w:w="0" w:type="dxa"/>
            <w:left w:w="0" w:type="dxa"/>
            <w:bottom w:w="0" w:type="dxa"/>
            <w:right w:w="0" w:type="dxa"/>
          </w:tblCellMar>
          <w:tblLook w:val="0000"/>
        </w:tblPrEx>
        <w:tc>
          <w:tcPr>
            <w:tcW w:w="225" w:type="dxa"/>
          </w:tcPr>
          <w:p>
            <w:pPr>
              <w:pStyle w:val="DefaultParagraph"/>
              <w:rPr>
                <w:b/>
                <w:szCs w:val="21"/>
              </w:rPr>
            </w:pPr>
            <w:r>
              <w:rPr>
                <w:b/>
                <w:szCs w:val="21"/>
              </w:rPr>
              <w:t>　</w:t>
            </w:r>
          </w:p>
        </w:tc>
        <w:tc>
          <w:tcPr>
            <w:tcW w:w="330" w:type="dxa"/>
          </w:tcPr>
          <w:p>
            <w:pPr>
              <w:pStyle w:val="DefaultParagraph"/>
              <w:rPr>
                <w:b/>
                <w:szCs w:val="21"/>
              </w:rPr>
            </w:pPr>
            <w:r>
              <w:rPr>
                <w:b/>
                <w:szCs w:val="21"/>
              </w:rPr>
              <w:t>D．</w:t>
            </w:r>
          </w:p>
        </w:tc>
        <w:tc>
          <w:tcPr>
            <w:tcW w:w="4900" w:type="pct"/>
          </w:tcPr>
          <w:p>
            <w:pPr>
              <w:pStyle w:val="DefaultParagraph"/>
              <w:rPr>
                <w:b/>
                <w:szCs w:val="21"/>
              </w:rPr>
            </w:pPr>
            <w:r>
              <w:rPr>
                <w:b/>
                <w:szCs w:val="21"/>
              </w:rPr>
              <w:t>油菜开花期如遇阴雨天，错过了最佳传粉时期，可以通过喷洒适宜浓度的2，4﹣D提高产量</w:t>
            </w:r>
          </w:p>
        </w:tc>
      </w:tr>
    </w:tbl>
    <w:p>
      <w:pPr>
        <w:pStyle w:val="DefaultParagraph"/>
        <w:rPr>
          <w:b/>
          <w:szCs w:val="21"/>
        </w:rPr>
      </w:pPr>
      <w:r>
        <w:rPr>
          <w:b/>
          <w:szCs w:val="21"/>
        </w:rPr>
        <w:t>30．研究人员进行两种植物激素对豌豆植株侧芽伸长长度（单位：mm）影响的实验，结果如下表．据表分析正确的是（　　）</w:t>
      </w:r>
    </w:p>
    <w:tbl>
      <w:tblPr>
        <w:tblStyle w:val="TableNormal"/>
        <w:tblW w:w="0" w:type="auto"/>
        <w:tblInd w:w="-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0" w:type="dxa"/>
          <w:left w:w="0" w:type="dxa"/>
          <w:bottom w:w="0" w:type="dxa"/>
          <w:right w:w="0" w:type="dxa"/>
        </w:tblCellMar>
        <w:tblLook w:val="0000"/>
      </w:tblPr>
      <w:tblGrid>
        <w:gridCol w:w="12"/>
        <w:gridCol w:w="348"/>
        <w:gridCol w:w="388"/>
        <w:gridCol w:w="2448"/>
        <w:gridCol w:w="837"/>
        <w:gridCol w:w="838"/>
        <w:gridCol w:w="838"/>
        <w:gridCol w:w="850"/>
        <w:gridCol w:w="1904"/>
      </w:tblGrid>
      <w:tr>
        <w:tblPrEx>
          <w:tblW w:w="0" w:type="auto"/>
          <w:tblInd w:w="-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0" w:type="dxa"/>
            <w:left w:w="0" w:type="dxa"/>
            <w:bottom w:w="0" w:type="dxa"/>
            <w:right w:w="0" w:type="dxa"/>
          </w:tblCellMar>
          <w:tblLook w:val="0000"/>
        </w:tblPrEx>
        <w:trPr>
          <w:gridAfter w:val="1"/>
          <w:wAfter w:w="2142" w:type="dxa"/>
        </w:trPr>
        <w:tc>
          <w:tcPr>
            <w:tcW w:w="810" w:type="dxa"/>
            <w:gridSpan w:val="3"/>
          </w:tcPr>
          <w:p>
            <w:pPr>
              <w:pStyle w:val="DefaultParagraph"/>
              <w:rPr>
                <w:b/>
                <w:szCs w:val="21"/>
              </w:rPr>
            </w:pPr>
            <w:r>
              <w:rPr>
                <w:b/>
                <w:szCs w:val="21"/>
              </w:rPr>
              <w:t>组号</w:t>
            </w:r>
          </w:p>
        </w:tc>
        <w:tc>
          <w:tcPr>
            <w:tcW w:w="2700" w:type="dxa"/>
          </w:tcPr>
          <w:p>
            <w:pPr>
              <w:pStyle w:val="DefaultParagraph"/>
              <w:rPr>
                <w:b/>
                <w:szCs w:val="21"/>
              </w:rPr>
            </w:pPr>
            <w:r>
              <w:rPr>
                <w:b/>
                <w:szCs w:val="21"/>
              </w:rPr>
              <w:t>操作</w:t>
            </w:r>
          </w:p>
        </w:tc>
        <w:tc>
          <w:tcPr>
            <w:tcW w:w="915" w:type="dxa"/>
          </w:tcPr>
          <w:p>
            <w:pPr>
              <w:pStyle w:val="DefaultParagraph"/>
              <w:rPr>
                <w:b/>
                <w:szCs w:val="21"/>
              </w:rPr>
            </w:pPr>
            <w:r>
              <w:rPr>
                <w:b/>
                <w:szCs w:val="21"/>
              </w:rPr>
              <w:t>第1天</w:t>
            </w:r>
          </w:p>
        </w:tc>
        <w:tc>
          <w:tcPr>
            <w:tcW w:w="915" w:type="dxa"/>
          </w:tcPr>
          <w:p>
            <w:pPr>
              <w:pStyle w:val="DefaultParagraph"/>
              <w:rPr>
                <w:b/>
                <w:szCs w:val="21"/>
              </w:rPr>
            </w:pPr>
            <w:r>
              <w:rPr>
                <w:b/>
                <w:szCs w:val="21"/>
              </w:rPr>
              <w:t>第3天</w:t>
            </w:r>
          </w:p>
        </w:tc>
        <w:tc>
          <w:tcPr>
            <w:tcW w:w="915" w:type="dxa"/>
          </w:tcPr>
          <w:p>
            <w:pPr>
              <w:pStyle w:val="DefaultParagraph"/>
              <w:rPr>
                <w:b/>
                <w:szCs w:val="21"/>
              </w:rPr>
            </w:pPr>
            <w:r>
              <w:rPr>
                <w:b/>
                <w:szCs w:val="21"/>
              </w:rPr>
              <w:t>第5天</w:t>
            </w:r>
          </w:p>
        </w:tc>
        <w:tc>
          <w:tcPr>
            <w:tcW w:w="915" w:type="dxa"/>
          </w:tcPr>
          <w:p>
            <w:pPr>
              <w:pStyle w:val="DefaultParagraph"/>
              <w:rPr>
                <w:b/>
                <w:szCs w:val="21"/>
              </w:rPr>
            </w:pPr>
            <w:r>
              <w:rPr>
                <w:b/>
                <w:szCs w:val="21"/>
              </w:rPr>
              <w:t>第7天</w:t>
            </w:r>
          </w:p>
        </w:tc>
      </w:tr>
      <w:tr>
        <w:tblPrEx>
          <w:tblW w:w="0" w:type="auto"/>
          <w:tblInd w:w="-1" w:type="dxa"/>
          <w:tblCellMar>
            <w:top w:w="0" w:type="dxa"/>
            <w:left w:w="0" w:type="dxa"/>
            <w:bottom w:w="0" w:type="dxa"/>
            <w:right w:w="0" w:type="dxa"/>
          </w:tblCellMar>
          <w:tblLook w:val="0000"/>
        </w:tblPrEx>
        <w:trPr>
          <w:gridAfter w:val="1"/>
          <w:wAfter w:w="2142" w:type="dxa"/>
        </w:trPr>
        <w:tc>
          <w:tcPr>
            <w:tcW w:w="810" w:type="dxa"/>
            <w:gridSpan w:val="3"/>
          </w:tcPr>
          <w:p>
            <w:pPr>
              <w:pStyle w:val="DefaultParagraph"/>
              <w:rPr>
                <w:b/>
                <w:szCs w:val="21"/>
              </w:rPr>
            </w:pPr>
            <w:r>
              <w:rPr>
                <w:b/>
                <w:szCs w:val="21"/>
              </w:rPr>
              <w:t>甲</w:t>
            </w:r>
          </w:p>
        </w:tc>
        <w:tc>
          <w:tcPr>
            <w:tcW w:w="2700" w:type="dxa"/>
          </w:tcPr>
          <w:p>
            <w:pPr>
              <w:pStyle w:val="DefaultParagraph"/>
              <w:rPr>
                <w:b/>
                <w:szCs w:val="21"/>
              </w:rPr>
            </w:pPr>
            <w:r>
              <w:rPr>
                <w:b/>
                <w:szCs w:val="21"/>
              </w:rPr>
              <w:t>顶芽保留</w:t>
            </w:r>
          </w:p>
        </w:tc>
        <w:tc>
          <w:tcPr>
            <w:tcW w:w="915" w:type="dxa"/>
          </w:tcPr>
          <w:p>
            <w:pPr>
              <w:pStyle w:val="DefaultParagraph"/>
              <w:rPr>
                <w:b/>
                <w:szCs w:val="21"/>
              </w:rPr>
            </w:pPr>
            <w:r>
              <w:rPr>
                <w:b/>
                <w:szCs w:val="21"/>
              </w:rPr>
              <w:t xml:space="preserve"> 0</w:t>
            </w:r>
          </w:p>
        </w:tc>
        <w:tc>
          <w:tcPr>
            <w:tcW w:w="915" w:type="dxa"/>
          </w:tcPr>
          <w:p>
            <w:pPr>
              <w:pStyle w:val="DefaultParagraph"/>
              <w:rPr>
                <w:b/>
                <w:szCs w:val="21"/>
              </w:rPr>
            </w:pPr>
            <w:r>
              <w:rPr>
                <w:b/>
                <w:szCs w:val="21"/>
              </w:rPr>
              <w:t xml:space="preserve">0 </w:t>
            </w:r>
          </w:p>
        </w:tc>
        <w:tc>
          <w:tcPr>
            <w:tcW w:w="915" w:type="dxa"/>
          </w:tcPr>
          <w:p>
            <w:pPr>
              <w:pStyle w:val="DefaultParagraph"/>
              <w:rPr>
                <w:b/>
                <w:szCs w:val="21"/>
              </w:rPr>
            </w:pPr>
            <w:r>
              <w:rPr>
                <w:b/>
                <w:szCs w:val="21"/>
              </w:rPr>
              <w:t xml:space="preserve">0 </w:t>
            </w:r>
          </w:p>
        </w:tc>
        <w:tc>
          <w:tcPr>
            <w:tcW w:w="915" w:type="dxa"/>
          </w:tcPr>
          <w:p>
            <w:pPr>
              <w:pStyle w:val="DefaultParagraph"/>
              <w:rPr>
                <w:b/>
                <w:szCs w:val="21"/>
              </w:rPr>
            </w:pPr>
            <w:r>
              <w:rPr>
                <w:b/>
                <w:szCs w:val="21"/>
              </w:rPr>
              <w:t xml:space="preserve">0 </w:t>
            </w:r>
          </w:p>
        </w:tc>
      </w:tr>
      <w:tr>
        <w:tblPrEx>
          <w:tblW w:w="0" w:type="auto"/>
          <w:tblInd w:w="-1" w:type="dxa"/>
          <w:tblCellMar>
            <w:top w:w="0" w:type="dxa"/>
            <w:left w:w="0" w:type="dxa"/>
            <w:bottom w:w="0" w:type="dxa"/>
            <w:right w:w="0" w:type="dxa"/>
          </w:tblCellMar>
          <w:tblLook w:val="0000"/>
        </w:tblPrEx>
        <w:trPr>
          <w:gridAfter w:val="1"/>
          <w:wAfter w:w="2142" w:type="dxa"/>
        </w:trPr>
        <w:tc>
          <w:tcPr>
            <w:tcW w:w="810" w:type="dxa"/>
            <w:gridSpan w:val="3"/>
          </w:tcPr>
          <w:p>
            <w:pPr>
              <w:pStyle w:val="DefaultParagraph"/>
              <w:rPr>
                <w:b/>
                <w:szCs w:val="21"/>
              </w:rPr>
            </w:pPr>
            <w:r>
              <w:rPr>
                <w:b/>
                <w:szCs w:val="21"/>
              </w:rPr>
              <w:t>乙</w:t>
            </w:r>
          </w:p>
        </w:tc>
        <w:tc>
          <w:tcPr>
            <w:tcW w:w="2700" w:type="dxa"/>
          </w:tcPr>
          <w:p>
            <w:pPr>
              <w:pStyle w:val="DefaultParagraph"/>
              <w:rPr>
                <w:b/>
                <w:szCs w:val="21"/>
              </w:rPr>
            </w:pPr>
            <w:r>
              <w:rPr>
                <w:b/>
                <w:szCs w:val="21"/>
              </w:rPr>
              <w:t xml:space="preserve"> 去顶芽</w:t>
            </w:r>
          </w:p>
        </w:tc>
        <w:tc>
          <w:tcPr>
            <w:tcW w:w="915" w:type="dxa"/>
          </w:tcPr>
          <w:p>
            <w:pPr>
              <w:pStyle w:val="DefaultParagraph"/>
              <w:rPr>
                <w:b/>
                <w:szCs w:val="21"/>
              </w:rPr>
            </w:pPr>
            <w:r>
              <w:rPr>
                <w:b/>
                <w:szCs w:val="21"/>
              </w:rPr>
              <w:t xml:space="preserve">0 </w:t>
            </w:r>
          </w:p>
        </w:tc>
        <w:tc>
          <w:tcPr>
            <w:tcW w:w="915" w:type="dxa"/>
          </w:tcPr>
          <w:p>
            <w:pPr>
              <w:pStyle w:val="DefaultParagraph"/>
              <w:rPr>
                <w:b/>
                <w:szCs w:val="21"/>
              </w:rPr>
            </w:pPr>
            <w:r>
              <w:rPr>
                <w:b/>
                <w:szCs w:val="21"/>
              </w:rPr>
              <w:t xml:space="preserve">20 </w:t>
            </w:r>
          </w:p>
        </w:tc>
        <w:tc>
          <w:tcPr>
            <w:tcW w:w="915" w:type="dxa"/>
          </w:tcPr>
          <w:p>
            <w:pPr>
              <w:pStyle w:val="DefaultParagraph"/>
              <w:rPr>
                <w:b/>
                <w:szCs w:val="21"/>
              </w:rPr>
            </w:pPr>
            <w:r>
              <w:rPr>
                <w:b/>
                <w:szCs w:val="21"/>
              </w:rPr>
              <w:t xml:space="preserve">40 </w:t>
            </w:r>
          </w:p>
        </w:tc>
        <w:tc>
          <w:tcPr>
            <w:tcW w:w="915" w:type="dxa"/>
          </w:tcPr>
          <w:p>
            <w:pPr>
              <w:pStyle w:val="DefaultParagraph"/>
              <w:rPr>
                <w:b/>
                <w:szCs w:val="21"/>
              </w:rPr>
            </w:pPr>
            <w:r>
              <w:rPr>
                <w:b/>
                <w:szCs w:val="21"/>
              </w:rPr>
              <w:t xml:space="preserve">60 </w:t>
            </w:r>
          </w:p>
        </w:tc>
      </w:tr>
      <w:tr>
        <w:tblPrEx>
          <w:tblW w:w="0" w:type="auto"/>
          <w:tblInd w:w="-1" w:type="dxa"/>
          <w:tblCellMar>
            <w:top w:w="0" w:type="dxa"/>
            <w:left w:w="0" w:type="dxa"/>
            <w:bottom w:w="0" w:type="dxa"/>
            <w:right w:w="0" w:type="dxa"/>
          </w:tblCellMar>
          <w:tblLook w:val="0000"/>
        </w:tblPrEx>
        <w:trPr>
          <w:gridAfter w:val="1"/>
          <w:wAfter w:w="2142" w:type="dxa"/>
        </w:trPr>
        <w:tc>
          <w:tcPr>
            <w:tcW w:w="810" w:type="dxa"/>
            <w:gridSpan w:val="3"/>
          </w:tcPr>
          <w:p>
            <w:pPr>
              <w:pStyle w:val="DefaultParagraph"/>
              <w:rPr>
                <w:b/>
                <w:szCs w:val="21"/>
              </w:rPr>
            </w:pPr>
            <w:r>
              <w:rPr>
                <w:b/>
                <w:szCs w:val="21"/>
              </w:rPr>
              <w:t>丙</w:t>
            </w:r>
          </w:p>
        </w:tc>
        <w:tc>
          <w:tcPr>
            <w:tcW w:w="2700" w:type="dxa"/>
          </w:tcPr>
          <w:p>
            <w:pPr>
              <w:pStyle w:val="DefaultParagraph"/>
              <w:rPr>
                <w:b/>
                <w:szCs w:val="21"/>
              </w:rPr>
            </w:pPr>
            <w:r>
              <w:rPr>
                <w:b/>
                <w:szCs w:val="21"/>
              </w:rPr>
              <w:t xml:space="preserve"> 去顶芽，切口涂抹生长素</w:t>
            </w:r>
          </w:p>
        </w:tc>
        <w:tc>
          <w:tcPr>
            <w:tcW w:w="915" w:type="dxa"/>
          </w:tcPr>
          <w:p>
            <w:pPr>
              <w:pStyle w:val="DefaultParagraph"/>
              <w:rPr>
                <w:b/>
                <w:szCs w:val="21"/>
              </w:rPr>
            </w:pPr>
            <w:r>
              <w:rPr>
                <w:b/>
                <w:szCs w:val="21"/>
              </w:rPr>
              <w:t xml:space="preserve"> 0</w:t>
            </w:r>
          </w:p>
        </w:tc>
        <w:tc>
          <w:tcPr>
            <w:tcW w:w="915" w:type="dxa"/>
          </w:tcPr>
          <w:p>
            <w:pPr>
              <w:pStyle w:val="DefaultParagraph"/>
              <w:rPr>
                <w:b/>
                <w:szCs w:val="21"/>
              </w:rPr>
            </w:pPr>
            <w:r>
              <w:rPr>
                <w:b/>
                <w:szCs w:val="21"/>
              </w:rPr>
              <w:t xml:space="preserve">2 </w:t>
            </w:r>
          </w:p>
        </w:tc>
        <w:tc>
          <w:tcPr>
            <w:tcW w:w="915" w:type="dxa"/>
          </w:tcPr>
          <w:p>
            <w:pPr>
              <w:pStyle w:val="DefaultParagraph"/>
              <w:rPr>
                <w:b/>
                <w:szCs w:val="21"/>
              </w:rPr>
            </w:pPr>
            <w:r>
              <w:rPr>
                <w:b/>
                <w:szCs w:val="21"/>
              </w:rPr>
              <w:t xml:space="preserve">5 </w:t>
            </w:r>
          </w:p>
        </w:tc>
        <w:tc>
          <w:tcPr>
            <w:tcW w:w="915" w:type="dxa"/>
          </w:tcPr>
          <w:p>
            <w:pPr>
              <w:pStyle w:val="DefaultParagraph"/>
              <w:rPr>
                <w:b/>
                <w:szCs w:val="21"/>
              </w:rPr>
            </w:pPr>
            <w:r>
              <w:rPr>
                <w:b/>
                <w:szCs w:val="21"/>
              </w:rPr>
              <w:t xml:space="preserve">7 </w:t>
            </w:r>
          </w:p>
        </w:tc>
      </w:tr>
      <w:tr>
        <w:tblPrEx>
          <w:tblW w:w="0" w:type="auto"/>
          <w:tblInd w:w="-1" w:type="dxa"/>
          <w:tblCellMar>
            <w:top w:w="0" w:type="dxa"/>
            <w:left w:w="0" w:type="dxa"/>
            <w:bottom w:w="0" w:type="dxa"/>
            <w:right w:w="0" w:type="dxa"/>
          </w:tblCellMar>
          <w:tblLook w:val="0000"/>
        </w:tblPrEx>
        <w:trPr>
          <w:gridAfter w:val="1"/>
          <w:wAfter w:w="2142" w:type="dxa"/>
        </w:trPr>
        <w:tc>
          <w:tcPr>
            <w:tcW w:w="810" w:type="dxa"/>
            <w:gridSpan w:val="3"/>
          </w:tcPr>
          <w:p>
            <w:pPr>
              <w:pStyle w:val="DefaultParagraph"/>
              <w:rPr>
                <w:b/>
                <w:szCs w:val="21"/>
              </w:rPr>
            </w:pPr>
            <w:r>
              <w:rPr>
                <w:b/>
                <w:szCs w:val="21"/>
              </w:rPr>
              <w:t>丁</w:t>
            </w:r>
          </w:p>
        </w:tc>
        <w:tc>
          <w:tcPr>
            <w:tcW w:w="2700" w:type="dxa"/>
          </w:tcPr>
          <w:p>
            <w:pPr>
              <w:pStyle w:val="DefaultParagraph"/>
              <w:rPr>
                <w:b/>
                <w:szCs w:val="21"/>
              </w:rPr>
            </w:pPr>
            <w:r>
              <w:rPr>
                <w:b/>
                <w:szCs w:val="21"/>
              </w:rPr>
              <w:t xml:space="preserve"> 去顶芽，切口涂抹赤霉素</w:t>
            </w:r>
          </w:p>
        </w:tc>
        <w:tc>
          <w:tcPr>
            <w:tcW w:w="915" w:type="dxa"/>
          </w:tcPr>
          <w:p>
            <w:pPr>
              <w:pStyle w:val="DefaultParagraph"/>
              <w:rPr>
                <w:b/>
                <w:szCs w:val="21"/>
              </w:rPr>
            </w:pPr>
            <w:r>
              <w:rPr>
                <w:b/>
                <w:szCs w:val="21"/>
              </w:rPr>
              <w:t xml:space="preserve"> 0</w:t>
            </w:r>
          </w:p>
        </w:tc>
        <w:tc>
          <w:tcPr>
            <w:tcW w:w="915" w:type="dxa"/>
          </w:tcPr>
          <w:p>
            <w:pPr>
              <w:pStyle w:val="DefaultParagraph"/>
              <w:rPr>
                <w:b/>
                <w:szCs w:val="21"/>
              </w:rPr>
            </w:pPr>
            <w:r>
              <w:rPr>
                <w:b/>
                <w:szCs w:val="21"/>
              </w:rPr>
              <w:t xml:space="preserve">30 </w:t>
            </w:r>
          </w:p>
        </w:tc>
        <w:tc>
          <w:tcPr>
            <w:tcW w:w="915" w:type="dxa"/>
          </w:tcPr>
          <w:p>
            <w:pPr>
              <w:pStyle w:val="DefaultParagraph"/>
              <w:rPr>
                <w:b/>
                <w:szCs w:val="21"/>
              </w:rPr>
            </w:pPr>
            <w:r>
              <w:rPr>
                <w:b/>
                <w:szCs w:val="21"/>
              </w:rPr>
              <w:t xml:space="preserve">65 </w:t>
            </w:r>
          </w:p>
        </w:tc>
        <w:tc>
          <w:tcPr>
            <w:tcW w:w="915" w:type="dxa"/>
          </w:tcPr>
          <w:p>
            <w:pPr>
              <w:pStyle w:val="DefaultParagraph"/>
              <w:rPr>
                <w:b/>
                <w:szCs w:val="21"/>
              </w:rPr>
            </w:pPr>
            <w:r>
              <w:rPr>
                <w:b/>
                <w:szCs w:val="21"/>
              </w:rPr>
              <w:t xml:space="preserve">100 </w:t>
            </w:r>
          </w:p>
        </w:tc>
      </w:tr>
      <w:tr>
        <w:tblPrEx>
          <w:tblW w:w="0" w:type="auto"/>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8" w:type="dxa"/>
          </w:tcPr>
          <w:p>
            <w:pPr>
              <w:pStyle w:val="DefaultParagraph"/>
              <w:rPr>
                <w:b/>
                <w:szCs w:val="21"/>
              </w:rPr>
            </w:pPr>
            <w:r>
              <w:rPr>
                <w:b/>
                <w:szCs w:val="21"/>
              </w:rPr>
              <w:t>　</w:t>
            </w:r>
          </w:p>
        </w:tc>
        <w:tc>
          <w:tcPr>
            <w:tcW w:w="365" w:type="dxa"/>
          </w:tcPr>
          <w:p>
            <w:pPr>
              <w:pStyle w:val="DefaultParagraph"/>
              <w:rPr>
                <w:b/>
                <w:szCs w:val="21"/>
              </w:rPr>
            </w:pPr>
            <w:r>
              <w:rPr>
                <w:b/>
                <w:szCs w:val="21"/>
              </w:rPr>
              <w:t>A．</w:t>
            </w:r>
          </w:p>
        </w:tc>
        <w:tc>
          <w:tcPr>
            <w:tcW w:w="8939" w:type="dxa"/>
            <w:gridSpan w:val="7"/>
          </w:tcPr>
          <w:p>
            <w:pPr>
              <w:pStyle w:val="DefaultParagraph"/>
              <w:rPr>
                <w:b/>
                <w:szCs w:val="21"/>
              </w:rPr>
            </w:pPr>
            <w:r>
              <w:rPr>
                <w:b/>
                <w:szCs w:val="21"/>
              </w:rPr>
              <w:t>比较甲、乙可知，顶芽产生的生长素对侧芽的生长有抑制作用</w:t>
            </w:r>
          </w:p>
        </w:tc>
      </w:tr>
      <w:tr>
        <w:tblPrEx>
          <w:tblW w:w="0" w:type="auto"/>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8" w:type="dxa"/>
          </w:tcPr>
          <w:p>
            <w:pPr>
              <w:pStyle w:val="DefaultParagraph"/>
              <w:rPr>
                <w:b/>
                <w:szCs w:val="21"/>
              </w:rPr>
            </w:pPr>
            <w:r>
              <w:rPr>
                <w:b/>
                <w:szCs w:val="21"/>
              </w:rPr>
              <w:t>　</w:t>
            </w:r>
          </w:p>
        </w:tc>
        <w:tc>
          <w:tcPr>
            <w:tcW w:w="365" w:type="dxa"/>
          </w:tcPr>
          <w:p>
            <w:pPr>
              <w:pStyle w:val="DefaultParagraph"/>
              <w:rPr>
                <w:b/>
                <w:szCs w:val="21"/>
              </w:rPr>
            </w:pPr>
            <w:r>
              <w:rPr>
                <w:b/>
                <w:szCs w:val="21"/>
              </w:rPr>
              <w:t>B．</w:t>
            </w:r>
          </w:p>
        </w:tc>
        <w:tc>
          <w:tcPr>
            <w:tcW w:w="8939" w:type="dxa"/>
            <w:gridSpan w:val="7"/>
          </w:tcPr>
          <w:p>
            <w:pPr>
              <w:pStyle w:val="DefaultParagraph"/>
              <w:rPr>
                <w:b/>
                <w:szCs w:val="21"/>
              </w:rPr>
            </w:pPr>
            <w:r>
              <w:rPr>
                <w:b/>
                <w:szCs w:val="21"/>
              </w:rPr>
              <w:t>比较乙、丙可知，生长素对侧芽的生长有促进作用</w:t>
            </w:r>
          </w:p>
        </w:tc>
      </w:tr>
      <w:tr>
        <w:tblPrEx>
          <w:tblW w:w="0" w:type="auto"/>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8" w:type="dxa"/>
          </w:tcPr>
          <w:p>
            <w:pPr>
              <w:pStyle w:val="DefaultParagraph"/>
              <w:rPr>
                <w:b/>
                <w:szCs w:val="21"/>
              </w:rPr>
            </w:pPr>
            <w:r>
              <w:rPr>
                <w:b/>
                <w:szCs w:val="21"/>
              </w:rPr>
              <w:t>　</w:t>
            </w:r>
          </w:p>
        </w:tc>
        <w:tc>
          <w:tcPr>
            <w:tcW w:w="365" w:type="dxa"/>
          </w:tcPr>
          <w:p>
            <w:pPr>
              <w:pStyle w:val="DefaultParagraph"/>
              <w:rPr>
                <w:b/>
                <w:szCs w:val="21"/>
              </w:rPr>
            </w:pPr>
            <w:r>
              <w:rPr>
                <w:b/>
                <w:szCs w:val="21"/>
              </w:rPr>
              <w:t>C．</w:t>
            </w:r>
          </w:p>
        </w:tc>
        <w:tc>
          <w:tcPr>
            <w:tcW w:w="8939" w:type="dxa"/>
            <w:gridSpan w:val="7"/>
          </w:tcPr>
          <w:p>
            <w:pPr>
              <w:pStyle w:val="DefaultParagraph"/>
              <w:rPr>
                <w:b/>
                <w:szCs w:val="21"/>
              </w:rPr>
            </w:pPr>
            <w:r>
              <w:rPr>
                <w:b/>
                <w:szCs w:val="21"/>
              </w:rPr>
              <w:t>比较乙、丁可知，赤霉素对侧芽的生长有促进作用</w:t>
            </w:r>
          </w:p>
        </w:tc>
      </w:tr>
      <w:tr>
        <w:tblPrEx>
          <w:tblW w:w="0" w:type="auto"/>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Look w:val="0000"/>
        </w:tblPrEx>
        <w:tc>
          <w:tcPr>
            <w:tcW w:w="8" w:type="dxa"/>
          </w:tcPr>
          <w:p>
            <w:pPr>
              <w:pStyle w:val="DefaultParagraph"/>
              <w:rPr>
                <w:b/>
                <w:szCs w:val="21"/>
              </w:rPr>
            </w:pPr>
            <w:r>
              <w:rPr>
                <w:b/>
                <w:szCs w:val="21"/>
              </w:rPr>
              <w:t>　</w:t>
            </w:r>
          </w:p>
        </w:tc>
        <w:tc>
          <w:tcPr>
            <w:tcW w:w="365" w:type="dxa"/>
          </w:tcPr>
          <w:p>
            <w:pPr>
              <w:pStyle w:val="DefaultParagraph"/>
              <w:rPr>
                <w:b/>
                <w:szCs w:val="21"/>
              </w:rPr>
            </w:pPr>
            <w:r>
              <w:rPr>
                <w:b/>
                <w:szCs w:val="21"/>
              </w:rPr>
              <w:t>D．</w:t>
            </w:r>
          </w:p>
        </w:tc>
        <w:tc>
          <w:tcPr>
            <w:tcW w:w="8939" w:type="dxa"/>
            <w:gridSpan w:val="7"/>
          </w:tcPr>
          <w:p>
            <w:pPr>
              <w:pStyle w:val="DefaultParagraph"/>
              <w:rPr>
                <w:b/>
                <w:szCs w:val="21"/>
              </w:rPr>
            </w:pPr>
            <w:r>
              <w:rPr>
                <w:b/>
                <w:szCs w:val="21"/>
              </w:rPr>
              <w:t>比较丙、丁可知，生长素和赤霉素对侧芽生长作用效果相同</w:t>
            </w:r>
          </w:p>
        </w:tc>
      </w:tr>
    </w:tbl>
    <w:p>
      <w:pPr>
        <w:spacing w:line="360" w:lineRule="auto"/>
        <w:rPr>
          <w:rFonts w:hint="eastAsia"/>
          <w:b/>
          <w:szCs w:val="21"/>
        </w:rPr>
      </w:pPr>
      <w:r>
        <w:rPr>
          <w:rFonts w:hint="eastAsia"/>
          <w:b/>
          <w:szCs w:val="21"/>
        </w:rPr>
        <w:t>二、非选择题（共40分）</w:t>
      </w:r>
    </w:p>
    <w:p>
      <w:pPr>
        <w:pStyle w:val="DefaultParagraph"/>
        <w:textAlignment w:val="center"/>
        <w:rPr>
          <w:b/>
          <w:szCs w:val="21"/>
        </w:rPr>
      </w:pPr>
      <w:r>
        <w:rPr>
          <w:rFonts w:hint="eastAsia"/>
          <w:b/>
          <w:szCs w:val="21"/>
        </w:rPr>
        <w:t>31．（10分）</w:t>
      </w:r>
      <w:r>
        <w:rPr>
          <w:b/>
          <w:szCs w:val="21"/>
        </w:rPr>
        <w:t>健康是人生最宝贵的财富之一，内环境稳态的维持与人体健康有密切的关系．如图是人体某组织结构示意图，据图回答：</w:t>
      </w:r>
    </w:p>
    <w:p>
      <w:pPr>
        <w:pStyle w:val="DefaultParagraph"/>
        <w:textAlignment w:val="center"/>
        <w:rPr>
          <w:rFonts w:hint="eastAsia"/>
          <w:b/>
          <w:szCs w:val="21"/>
        </w:rPr>
      </w:pPr>
      <w:r>
        <w:rPr>
          <w:b/>
          <w:szCs w:val="21"/>
        </w:rPr>
        <w:t>（1）人体内环境是指</w:t>
      </w:r>
      <w:r>
        <w:rPr>
          <w:b/>
          <w:szCs w:val="21"/>
          <w:u w:val="single"/>
        </w:rPr>
        <w:t>　　</w:t>
      </w:r>
      <w:r>
        <w:rPr>
          <w:b/>
          <w:szCs w:val="21"/>
        </w:rPr>
        <w:t>、</w:t>
      </w:r>
      <w:r>
        <w:rPr>
          <w:b/>
          <w:szCs w:val="21"/>
          <w:u w:val="single"/>
        </w:rPr>
        <w:t>　　</w:t>
      </w:r>
      <w:r>
        <w:rPr>
          <w:b/>
          <w:szCs w:val="21"/>
        </w:rPr>
        <w:t>、</w:t>
      </w:r>
      <w:r>
        <w:rPr>
          <w:b/>
          <w:szCs w:val="21"/>
          <w:u w:val="single"/>
        </w:rPr>
        <w:t>　　</w:t>
      </w:r>
      <w:r>
        <w:rPr>
          <w:b/>
          <w:szCs w:val="21"/>
        </w:rPr>
        <w:t>（填名称）</w:t>
      </w:r>
    </w:p>
    <w:p>
      <w:pPr>
        <w:pStyle w:val="DefaultParagraph"/>
        <w:textAlignment w:val="center"/>
        <w:rPr>
          <w:rFonts w:hint="eastAsia"/>
          <w:b/>
          <w:szCs w:val="21"/>
        </w:rPr>
      </w:pPr>
      <w:r>
        <w:rPr>
          <w:b/>
          <w:szCs w:val="21"/>
        </w:rPr>
        <w:t>（2）图中A细胞生活的具体内环境是</w:t>
      </w:r>
      <w:r>
        <w:rPr>
          <w:rFonts w:ascii="宋体" w:hAnsi="宋体" w:hint="eastAsia"/>
          <w:b/>
          <w:szCs w:val="21"/>
        </w:rPr>
        <w:t>[</w:t>
      </w:r>
      <w:r>
        <w:rPr>
          <w:b/>
          <w:szCs w:val="21"/>
          <w:u w:val="single"/>
        </w:rPr>
        <w:t>　　</w:t>
      </w:r>
      <w:r>
        <w:rPr>
          <w:rFonts w:ascii="宋体" w:hAnsi="宋体" w:hint="eastAsia"/>
          <w:b/>
          <w:szCs w:val="21"/>
        </w:rPr>
        <w:t>]</w:t>
      </w:r>
      <w:r>
        <w:rPr>
          <w:b/>
          <w:szCs w:val="21"/>
          <w:u w:val="single"/>
        </w:rPr>
        <w:t>　　</w:t>
      </w:r>
      <w:r>
        <w:rPr>
          <w:b/>
          <w:szCs w:val="21"/>
        </w:rPr>
        <w:t xml:space="preserve"> </w:t>
      </w:r>
    </w:p>
    <w:p>
      <w:pPr>
        <w:pStyle w:val="DefaultParagraph"/>
        <w:textAlignment w:val="center"/>
        <w:rPr>
          <w:b/>
          <w:szCs w:val="21"/>
        </w:rPr>
      </w:pPr>
      <w:r>
        <w:rPr>
          <w:b/>
          <w:szCs w:val="21"/>
        </w:rPr>
        <w:t>（</w:t>
      </w:r>
      <w:r>
        <w:rPr>
          <w:rFonts w:hint="eastAsia"/>
          <w:b/>
          <w:szCs w:val="21"/>
        </w:rPr>
        <w:t>3</w:t>
      </w:r>
      <w:r>
        <w:rPr>
          <w:b/>
          <w:szCs w:val="21"/>
        </w:rPr>
        <w:t>）血液中的氧进入细胞的途径是</w:t>
      </w:r>
      <w:r>
        <w:rPr>
          <w:b/>
          <w:szCs w:val="21"/>
          <w:u w:val="single"/>
        </w:rPr>
        <w:t>　　</w:t>
      </w:r>
      <w:r>
        <w:rPr>
          <w:b/>
          <w:szCs w:val="21"/>
        </w:rPr>
        <w:t>（用字母和箭头表示）．</w:t>
      </w:r>
    </w:p>
    <w:p>
      <w:pPr>
        <w:pStyle w:val="DefaultParagraph"/>
        <w:textAlignment w:val="center"/>
        <w:rPr>
          <w:b/>
          <w:szCs w:val="21"/>
        </w:rPr>
      </w:pPr>
      <w:r>
        <w:rPr>
          <w:b/>
          <w:szCs w:val="21"/>
        </w:rPr>
        <w:t>（</w:t>
      </w:r>
      <w:r>
        <w:rPr>
          <w:rFonts w:hint="eastAsia"/>
          <w:b/>
          <w:szCs w:val="21"/>
        </w:rPr>
        <w:t>4</w:t>
      </w:r>
      <w:r>
        <w:rPr>
          <w:b/>
          <w:szCs w:val="21"/>
        </w:rPr>
        <w:t>）如果饮水过少或吃的食物偏咸，会导致内环境的渗透压</w:t>
      </w:r>
      <w:r>
        <w:rPr>
          <w:rFonts w:hint="eastAsia"/>
          <w:b/>
          <w:szCs w:val="21"/>
          <w:u w:val="single"/>
        </w:rPr>
        <w:t>升高</w:t>
      </w:r>
      <w:r>
        <w:rPr>
          <w:b/>
          <w:szCs w:val="21"/>
        </w:rPr>
        <w:t>，但机体能通过</w:t>
      </w:r>
      <w:r>
        <w:rPr>
          <w:b/>
          <w:szCs w:val="21"/>
          <w:u w:val="single"/>
        </w:rPr>
        <w:t>　　</w:t>
      </w:r>
      <w:r>
        <w:rPr>
          <w:b/>
          <w:szCs w:val="21"/>
        </w:rPr>
        <w:t>调节，使内环境的渗透压保持相对稳定．</w:t>
      </w:r>
    </w:p>
    <w:p>
      <w:pPr>
        <w:pStyle w:val="DefaultParagraph"/>
        <w:textAlignment w:val="center"/>
        <w:rPr>
          <w:b/>
          <w:szCs w:val="21"/>
        </w:rPr>
      </w:pPr>
      <w:r>
        <w:rPr>
          <w:b/>
          <w:szCs w:val="21"/>
        </w:rPr>
        <w:t>（</w:t>
      </w:r>
      <w:r>
        <w:rPr>
          <w:rFonts w:hint="eastAsia"/>
          <w:b/>
          <w:szCs w:val="21"/>
        </w:rPr>
        <w:t>5</w:t>
      </w:r>
      <w:r>
        <w:rPr>
          <w:b/>
          <w:szCs w:val="21"/>
        </w:rPr>
        <w:t>）不吃早餐，机体处于饥饿状态，但一般情况下，体内分泌</w:t>
      </w:r>
      <w:r>
        <w:rPr>
          <w:b/>
          <w:szCs w:val="21"/>
          <w:u w:val="single"/>
        </w:rPr>
        <w:t>　　</w:t>
      </w:r>
      <w:r>
        <w:rPr>
          <w:b/>
          <w:szCs w:val="21"/>
        </w:rPr>
        <w:t>，促进</w:t>
      </w:r>
      <w:r>
        <w:rPr>
          <w:rFonts w:hint="eastAsia"/>
          <w:b/>
          <w:szCs w:val="21"/>
          <w:u w:val="single"/>
        </w:rPr>
        <w:t>肝糖原</w:t>
      </w:r>
      <w:r>
        <w:rPr>
          <w:b/>
          <w:szCs w:val="21"/>
        </w:rPr>
        <w:t>分解从而使体内的血糖仍能维持相对稳定．</w:t>
      </w:r>
    </w:p>
    <w:p>
      <w:pPr>
        <w:pStyle w:val="DefaultParagraph"/>
        <w:textAlignment w:val="center"/>
        <w:rPr>
          <w:b/>
          <w:szCs w:val="21"/>
        </w:rPr>
      </w:pPr>
      <w:r>
        <w:rPr>
          <w:b/>
          <w:szCs w:val="21"/>
        </w:rPr>
        <w:pict>
          <v:shape id="图片 617" o:spid="_x0000_i1055" type="#_x0000_t75" style="width:199.45pt;height:104.95pt;mso-position-horizontal-relative:char;mso-position-vertical-relative:line;mso-wrap-style:square" filled="f" stroked="f">
            <v:stroke linestyle="single"/>
            <v:imagedata r:id="rId34" o:title="" cropbottom="496f" cropright="262f"/>
            <v:path o:extrusionok="f"/>
            <o:lock v:ext="edit" aspectratio="t"/>
            <w10:wrap type="none"/>
            <w10:anchorlock/>
          </v:shape>
        </w:pict>
      </w:r>
    </w:p>
    <w:p>
      <w:pPr>
        <w:pStyle w:val="DefaultParagraph"/>
        <w:rPr>
          <w:b/>
          <w:szCs w:val="21"/>
        </w:rPr>
      </w:pPr>
      <w:r>
        <w:rPr>
          <w:rFonts w:hint="eastAsia"/>
          <w:b/>
          <w:szCs w:val="21"/>
        </w:rPr>
        <w:t>32．（10分）</w:t>
      </w:r>
      <w:r>
        <w:rPr>
          <w:b/>
          <w:szCs w:val="21"/>
        </w:rPr>
        <w:t>如图是体育运动对学习记忆的促进作用与蛋白质类神经营养因子（BDNF）关系的部分图解．请据图回答问题：</w:t>
      </w:r>
    </w:p>
    <w:p>
      <w:pPr>
        <w:pStyle w:val="DefaultParagraph"/>
        <w:rPr>
          <w:b/>
          <w:szCs w:val="21"/>
        </w:rPr>
      </w:pPr>
      <w:r>
        <w:rPr>
          <w:b/>
          <w:szCs w:val="21"/>
        </w:rPr>
        <w:pict>
          <v:shape id="Picture24" o:spid="_x0000_i1056" type="#_x0000_t75" style="width:270.53pt;height:77.92pt;mso-position-horizontal-relative:page;mso-position-vertical-relative:page;mso-wrap-style:square" filled="f" stroked="f">
            <v:stroke linestyle="single"/>
            <v:imagedata r:id="rId35" o:title=""/>
            <v:path o:extrusionok="f"/>
            <o:lock v:ext="edit" aspectratio="t"/>
          </v:shape>
        </w:pict>
      </w:r>
    </w:p>
    <w:p>
      <w:pPr>
        <w:pStyle w:val="DefaultParagraph"/>
        <w:rPr>
          <w:b/>
          <w:szCs w:val="21"/>
        </w:rPr>
      </w:pPr>
      <w:r>
        <w:rPr>
          <w:b/>
          <w:szCs w:val="21"/>
        </w:rPr>
        <w:t>（1）突触小泡中的b物质进入突触间隙的方式依赖于</w:t>
      </w:r>
      <w:r>
        <w:rPr>
          <w:rFonts w:hint="eastAsia"/>
          <w:b/>
          <w:szCs w:val="21"/>
          <w:u w:val="single"/>
        </w:rPr>
        <w:t xml:space="preserve">                 </w:t>
      </w:r>
      <w:r>
        <w:rPr>
          <w:b/>
          <w:szCs w:val="21"/>
          <w:u w:val="single"/>
        </w:rPr>
        <w:t>　</w:t>
      </w:r>
      <w:r>
        <w:rPr>
          <w:b/>
          <w:szCs w:val="21"/>
        </w:rPr>
        <w:t>．</w:t>
      </w:r>
    </w:p>
    <w:p>
      <w:pPr>
        <w:pStyle w:val="DefaultParagraph"/>
        <w:rPr>
          <w:b/>
          <w:szCs w:val="21"/>
        </w:rPr>
      </w:pPr>
      <w:r>
        <w:rPr>
          <w:b/>
          <w:szCs w:val="21"/>
        </w:rPr>
        <w:t>（2）请在右图画出b物质与AMPA结合后兴奋传导至d处时，细胞膜内外电荷的分布情况，与</w:t>
      </w:r>
      <w:r>
        <w:rPr>
          <w:b/>
          <w:szCs w:val="21"/>
          <w:u w:val="single"/>
        </w:rPr>
        <w:t>　　</w:t>
      </w:r>
      <w:r>
        <w:rPr>
          <w:b/>
          <w:szCs w:val="21"/>
        </w:rPr>
        <w:t>离子的</w:t>
      </w:r>
      <w:r>
        <w:rPr>
          <w:b/>
          <w:szCs w:val="21"/>
          <w:u w:val="single"/>
        </w:rPr>
        <w:t>　　</w:t>
      </w:r>
      <w:r>
        <w:rPr>
          <w:b/>
          <w:szCs w:val="21"/>
        </w:rPr>
        <w:t>（填“外流”/“内流”）相关</w:t>
      </w:r>
    </w:p>
    <w:p>
      <w:pPr>
        <w:pStyle w:val="DefaultParagraph"/>
        <w:rPr>
          <w:rFonts w:hint="eastAsia"/>
          <w:b/>
          <w:szCs w:val="21"/>
        </w:rPr>
      </w:pPr>
      <w:r>
        <w:rPr>
          <w:b/>
          <w:szCs w:val="21"/>
        </w:rPr>
        <w:t>（3）据图可知，BDNF具有</w:t>
      </w:r>
      <w:r>
        <w:rPr>
          <w:b/>
          <w:szCs w:val="21"/>
          <w:u w:val="single"/>
        </w:rPr>
        <w:t>　</w:t>
      </w:r>
      <w:r>
        <w:rPr>
          <w:rFonts w:hint="eastAsia"/>
          <w:b/>
          <w:szCs w:val="21"/>
          <w:u w:val="single"/>
        </w:rPr>
        <w:t xml:space="preserve">          </w:t>
      </w:r>
      <w:r>
        <w:rPr>
          <w:b/>
          <w:szCs w:val="21"/>
          <w:u w:val="single"/>
        </w:rPr>
        <w:t>　</w:t>
      </w:r>
      <w:r>
        <w:rPr>
          <w:b/>
          <w:szCs w:val="21"/>
        </w:rPr>
        <w:t>和激活突触后膜上相应受体的作用，从而促进兴奋在突触处的传递．</w:t>
      </w:r>
    </w:p>
    <w:p>
      <w:pPr>
        <w:pStyle w:val="DefaultParagraph"/>
        <w:rPr>
          <w:b/>
          <w:szCs w:val="21"/>
        </w:rPr>
      </w:pPr>
      <w:r>
        <w:rPr>
          <w:b/>
          <w:szCs w:val="21"/>
        </w:rPr>
        <w:t>（</w:t>
      </w:r>
      <w:r>
        <w:rPr>
          <w:rFonts w:hint="eastAsia"/>
          <w:b/>
          <w:szCs w:val="21"/>
        </w:rPr>
        <w:t>4</w:t>
      </w:r>
      <w:r>
        <w:rPr>
          <w:b/>
          <w:szCs w:val="21"/>
        </w:rPr>
        <w:t>）若向大鼠脑室内注射抗BDNF的抗体，将导致突触间隙内b物质的含量</w:t>
      </w:r>
      <w:r>
        <w:rPr>
          <w:b/>
          <w:szCs w:val="21"/>
          <w:u w:val="single"/>
        </w:rPr>
        <w:t>　</w:t>
      </w:r>
      <w:r>
        <w:rPr>
          <w:rFonts w:hint="eastAsia"/>
          <w:b/>
          <w:szCs w:val="21"/>
          <w:u w:val="single"/>
        </w:rPr>
        <w:t xml:space="preserve">  </w:t>
      </w:r>
      <w:r>
        <w:rPr>
          <w:b/>
          <w:szCs w:val="21"/>
          <w:u w:val="single"/>
        </w:rPr>
        <w:t>　</w:t>
      </w:r>
      <w:r>
        <w:rPr>
          <w:b/>
          <w:szCs w:val="21"/>
        </w:rPr>
        <w:t>（填“增加”/“不变”/“减少”）．</w:t>
      </w:r>
    </w:p>
    <w:p>
      <w:pPr>
        <w:pStyle w:val="DefaultParagraph"/>
        <w:rPr>
          <w:b/>
          <w:szCs w:val="21"/>
        </w:rPr>
      </w:pPr>
      <w:r>
        <w:rPr>
          <w:b/>
          <w:szCs w:val="21"/>
        </w:rPr>
        <w:t>（</w:t>
      </w:r>
      <w:r>
        <w:rPr>
          <w:rFonts w:hint="eastAsia"/>
          <w:b/>
          <w:szCs w:val="21"/>
        </w:rPr>
        <w:t>5</w:t>
      </w:r>
      <w:r>
        <w:rPr>
          <w:b/>
          <w:szCs w:val="21"/>
        </w:rPr>
        <w:t>）图中c是突触蛋白，它在海马区的密度和分布可间接反映突触的数量和分布情况．有实验表明，水迷宫训练后大鼠海马区突触蛋白表达明显增强，大鼠学习记忆受损后突触蛋白表达水平下降．由此推测，长期记忆可能与</w:t>
      </w:r>
      <w:r>
        <w:rPr>
          <w:b/>
          <w:szCs w:val="21"/>
          <w:u w:val="single"/>
        </w:rPr>
        <w:t>　</w:t>
      </w:r>
      <w:r>
        <w:rPr>
          <w:rFonts w:hint="eastAsia"/>
          <w:b/>
          <w:szCs w:val="21"/>
          <w:u w:val="single"/>
        </w:rPr>
        <w:t xml:space="preserve">       </w:t>
      </w:r>
      <w:r>
        <w:rPr>
          <w:b/>
          <w:szCs w:val="21"/>
          <w:u w:val="single"/>
        </w:rPr>
        <w:t>　</w:t>
      </w:r>
      <w:r>
        <w:rPr>
          <w:b/>
          <w:szCs w:val="21"/>
        </w:rPr>
        <w:t>的建立有关．</w:t>
      </w:r>
    </w:p>
    <w:p>
      <w:pPr>
        <w:pStyle w:val="DefaultParagraph"/>
        <w:rPr>
          <w:b/>
          <w:szCs w:val="21"/>
        </w:rPr>
      </w:pPr>
    </w:p>
    <w:p>
      <w:pPr>
        <w:pStyle w:val="DefaultParagraph"/>
        <w:rPr>
          <w:b/>
          <w:szCs w:val="21"/>
        </w:rPr>
      </w:pPr>
      <w:r>
        <w:rPr>
          <w:rFonts w:hint="eastAsia"/>
          <w:b/>
          <w:szCs w:val="21"/>
        </w:rPr>
        <w:t>33．</w:t>
      </w:r>
      <w:r>
        <w:rPr>
          <w:rFonts w:ascii="宋体" w:hAnsi="宋体"/>
          <w:b/>
          <w:kern w:val="0"/>
          <w:szCs w:val="21"/>
        </w:rPr>
        <w:t>（1</w:t>
      </w:r>
      <w:r>
        <w:rPr>
          <w:rFonts w:ascii="宋体" w:hAnsi="宋体" w:hint="eastAsia"/>
          <w:b/>
          <w:kern w:val="0"/>
          <w:szCs w:val="21"/>
        </w:rPr>
        <w:t>0</w:t>
      </w:r>
      <w:r>
        <w:rPr>
          <w:rFonts w:ascii="宋体" w:hAnsi="宋体"/>
          <w:b/>
          <w:kern w:val="0"/>
          <w:szCs w:val="21"/>
        </w:rPr>
        <w:t>分）</w:t>
      </w:r>
      <w:r>
        <w:rPr>
          <w:b/>
          <w:szCs w:val="21"/>
        </w:rPr>
        <w:drawing>
          <wp:inline>
            <wp:extent cx="254000" cy="254000"/>
            <wp:docPr id="1000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492979" name=""/>
                    <pic:cNvPicPr>
                      <a:picLocks noChangeAspect="1"/>
                    </pic:cNvPicPr>
                  </pic:nvPicPr>
                  <pic:blipFill>
                    <a:blip xmlns:r="http://schemas.openxmlformats.org/officeDocument/2006/relationships" r:embed="rId36"/>
                    <a:stretch>
                      <a:fillRect/>
                    </a:stretch>
                  </pic:blipFill>
                  <pic:spPr>
                    <a:xfrm>
                      <a:off x="0" y="0"/>
                      <a:ext cx="254000" cy="254000"/>
                    </a:xfrm>
                    <a:prstGeom prst="rect">
                      <a:avLst/>
                    </a:prstGeom>
                  </pic:spPr>
                </pic:pic>
              </a:graphicData>
            </a:graphic>
          </wp:inline>
        </w:drawing>
      </w:r>
      <w:r>
        <w:rPr>
          <w:b/>
          <w:szCs w:val="21"/>
        </w:rPr>
        <w:t>2013年初以来，中国发生大范围持续雾霾天气．据统计，受影响面积约占国土面积的1/4，受影响人口约6亿人．雾霾天，空气中的细菌、过敏原和有害物质使很多人生病，一时间医院人满为患．请结合图示，回答下列问题：</w:t>
      </w:r>
    </w:p>
    <w:p>
      <w:pPr>
        <w:pStyle w:val="DefaultParagraph"/>
        <w:rPr>
          <w:b/>
          <w:szCs w:val="21"/>
        </w:rPr>
      </w:pPr>
      <w:r>
        <w:rPr>
          <w:b/>
          <w:szCs w:val="21"/>
        </w:rPr>
        <w:pict>
          <v:shape id="Picture24" o:spid="_x0000_i1057" type="#_x0000_t75" style="width:303.8pt;height:85.5pt;mso-position-horizontal-relative:page;mso-position-vertical-relative:page;mso-wrap-style:square" filled="f" stroked="f">
            <v:stroke linestyle="single"/>
            <v:imagedata r:id="rId37" o:title=""/>
            <v:path o:extrusionok="f"/>
            <o:lock v:ext="edit" aspectratio="t"/>
          </v:shape>
        </w:pict>
      </w:r>
    </w:p>
    <w:p>
      <w:pPr>
        <w:pStyle w:val="DefaultParagraph"/>
        <w:rPr>
          <w:b/>
          <w:szCs w:val="21"/>
        </w:rPr>
      </w:pPr>
      <w:r>
        <w:rPr>
          <w:b/>
          <w:szCs w:val="21"/>
        </w:rPr>
        <w:t>（1）患者中有很多是12岁以下的儿童，症状多为胸痛、咳嗽，严重的还会有发热症状，这是因为儿童呼吸道黏膜的过滤能力有限，导致病原体突破了人体的</w:t>
      </w:r>
      <w:r>
        <w:rPr>
          <w:rFonts w:hint="eastAsia"/>
          <w:b/>
          <w:szCs w:val="21"/>
        </w:rPr>
        <w:t>第一道</w:t>
      </w:r>
      <w:r>
        <w:rPr>
          <w:b/>
          <w:szCs w:val="21"/>
        </w:rPr>
        <w:t>防线，除了这种免疫反应，人体还可以通过如图所示的</w:t>
      </w:r>
      <w:r>
        <w:rPr>
          <w:b/>
          <w:szCs w:val="21"/>
          <w:u w:val="single"/>
        </w:rPr>
        <w:t>　</w:t>
      </w:r>
      <w:r>
        <w:rPr>
          <w:rFonts w:hint="eastAsia"/>
          <w:b/>
          <w:szCs w:val="21"/>
          <w:u w:val="single"/>
        </w:rPr>
        <w:t xml:space="preserve">        </w:t>
      </w:r>
      <w:r>
        <w:rPr>
          <w:b/>
          <w:szCs w:val="21"/>
          <w:u w:val="single"/>
        </w:rPr>
        <w:t>　</w:t>
      </w:r>
      <w:r>
        <w:rPr>
          <w:b/>
          <w:szCs w:val="21"/>
        </w:rPr>
        <w:t>反应清除病原体．</w:t>
      </w:r>
    </w:p>
    <w:p>
      <w:pPr>
        <w:pStyle w:val="DefaultParagraph"/>
        <w:rPr>
          <w:b/>
          <w:szCs w:val="21"/>
        </w:rPr>
      </w:pPr>
      <w:r>
        <w:rPr>
          <w:b/>
          <w:szCs w:val="21"/>
        </w:rPr>
        <w:t>（2）造血干细胞在胸腺和骨髓内转变为a、b、c等细胞的过程称为</w:t>
      </w:r>
      <w:r>
        <w:rPr>
          <w:b/>
          <w:szCs w:val="21"/>
          <w:u w:val="single"/>
        </w:rPr>
        <w:t>　</w:t>
      </w:r>
      <w:r>
        <w:rPr>
          <w:rFonts w:hint="eastAsia"/>
          <w:b/>
          <w:szCs w:val="21"/>
          <w:u w:val="single"/>
        </w:rPr>
        <w:t xml:space="preserve">     </w:t>
      </w:r>
      <w:r>
        <w:rPr>
          <w:b/>
          <w:szCs w:val="21"/>
          <w:u w:val="single"/>
        </w:rPr>
        <w:t>　</w:t>
      </w:r>
      <w:r>
        <w:rPr>
          <w:b/>
          <w:szCs w:val="21"/>
        </w:rPr>
        <w:t>．</w:t>
      </w:r>
    </w:p>
    <w:p>
      <w:pPr>
        <w:pStyle w:val="DefaultParagraph"/>
        <w:rPr>
          <w:b/>
          <w:szCs w:val="21"/>
        </w:rPr>
      </w:pPr>
      <w:r>
        <w:rPr>
          <w:b/>
          <w:szCs w:val="21"/>
        </w:rPr>
        <w:t>（3）过敏反应的发生是由于图示中Y吸附在组织细胞的表面，当</w:t>
      </w:r>
      <w:r>
        <w:rPr>
          <w:b/>
          <w:szCs w:val="21"/>
          <w:u w:val="single"/>
        </w:rPr>
        <w:t>　</w:t>
      </w:r>
      <w:r>
        <w:rPr>
          <w:rFonts w:hint="eastAsia"/>
          <w:b/>
          <w:szCs w:val="21"/>
          <w:u w:val="single"/>
        </w:rPr>
        <w:t xml:space="preserve">        </w:t>
      </w:r>
      <w:r>
        <w:rPr>
          <w:b/>
          <w:szCs w:val="21"/>
          <w:u w:val="single"/>
        </w:rPr>
        <w:t>　</w:t>
      </w:r>
      <w:r>
        <w:rPr>
          <w:b/>
          <w:szCs w:val="21"/>
        </w:rPr>
        <w:t>再次进入机体时引起的不适症状．</w:t>
      </w:r>
    </w:p>
    <w:p>
      <w:pPr>
        <w:pStyle w:val="DefaultParagraph"/>
        <w:rPr>
          <w:b/>
          <w:szCs w:val="21"/>
        </w:rPr>
      </w:pPr>
      <w:r>
        <w:rPr>
          <w:b/>
          <w:szCs w:val="21"/>
        </w:rPr>
        <w:t>（4）切除了胸腺的小鼠常被用于研究器官移植时的受体，原因是缺少图示中的</w:t>
      </w:r>
      <w:r>
        <w:rPr>
          <w:b/>
          <w:szCs w:val="21"/>
          <w:u w:val="single"/>
        </w:rPr>
        <w:t>　</w:t>
      </w:r>
      <w:r>
        <w:rPr>
          <w:rFonts w:hint="eastAsia"/>
          <w:b/>
          <w:szCs w:val="21"/>
          <w:u w:val="single"/>
        </w:rPr>
        <w:t xml:space="preserve">  </w:t>
      </w:r>
      <w:r>
        <w:rPr>
          <w:b/>
          <w:szCs w:val="21"/>
          <w:u w:val="single"/>
        </w:rPr>
        <w:t>　</w:t>
      </w:r>
      <w:r>
        <w:rPr>
          <w:b/>
          <w:szCs w:val="21"/>
        </w:rPr>
        <w:t>（用图中字母作答），减少了免疫排斥反应．</w:t>
      </w:r>
    </w:p>
    <w:p>
      <w:pPr>
        <w:pStyle w:val="DefaultParagraph"/>
        <w:rPr>
          <w:rFonts w:hint="eastAsia"/>
          <w:b/>
          <w:szCs w:val="21"/>
        </w:rPr>
      </w:pPr>
      <w:r>
        <w:rPr>
          <w:b/>
          <w:szCs w:val="21"/>
        </w:rPr>
        <w:t>（5）患者严重时出现的发热症状如果长期得不到缓解，会对机体造成严重的伤害．人体的体温调节中枢位于</w:t>
      </w:r>
      <w:r>
        <w:rPr>
          <w:b/>
          <w:szCs w:val="21"/>
          <w:u w:val="single"/>
        </w:rPr>
        <w:t>　</w:t>
      </w:r>
      <w:r>
        <w:rPr>
          <w:rFonts w:hint="eastAsia"/>
          <w:b/>
          <w:szCs w:val="21"/>
          <w:u w:val="single"/>
        </w:rPr>
        <w:t xml:space="preserve">     </w:t>
      </w:r>
    </w:p>
    <w:p>
      <w:pPr>
        <w:pStyle w:val="DefaultParagraph"/>
        <w:rPr>
          <w:b/>
          <w:szCs w:val="21"/>
        </w:rPr>
      </w:pPr>
      <w:r>
        <w:rPr>
          <w:rFonts w:hint="eastAsia"/>
          <w:b/>
          <w:szCs w:val="21"/>
        </w:rPr>
        <w:t>34.</w:t>
      </w:r>
      <w:r>
        <w:rPr>
          <w:rFonts w:ascii="宋体" w:hAnsi="宋体"/>
          <w:b/>
          <w:kern w:val="0"/>
          <w:szCs w:val="21"/>
        </w:rPr>
        <w:t xml:space="preserve"> （1</w:t>
      </w:r>
      <w:r>
        <w:rPr>
          <w:rFonts w:ascii="宋体" w:hAnsi="宋体" w:hint="eastAsia"/>
          <w:b/>
          <w:kern w:val="0"/>
          <w:szCs w:val="21"/>
        </w:rPr>
        <w:t>0</w:t>
      </w:r>
      <w:r>
        <w:rPr>
          <w:rFonts w:ascii="宋体" w:hAnsi="宋体"/>
          <w:b/>
          <w:kern w:val="0"/>
          <w:szCs w:val="21"/>
        </w:rPr>
        <w:t>分）</w:t>
      </w:r>
      <w:r>
        <w:rPr>
          <w:b/>
          <w:szCs w:val="21"/>
        </w:rPr>
        <w:t xml:space="preserve"> 胰岛素是一种蛋白质激素，由胰脏内的胰岛B细胞分泌．胰岛素参与调节糖代谢，维持血糖平衡，可用于治疗糖尿病．请回答下列有关胰岛素的问题：</w:t>
      </w:r>
    </w:p>
    <w:p>
      <w:pPr>
        <w:pStyle w:val="DefaultParagraph"/>
        <w:rPr>
          <w:b/>
          <w:szCs w:val="21"/>
        </w:rPr>
      </w:pPr>
      <w:r>
        <w:rPr>
          <w:b/>
          <w:szCs w:val="21"/>
        </w:rPr>
        <w:t>某兴趣小组的同学以小鼠为实验材料，以小鼠活动状况为观察指标，设计实验验证胰岛素具有降低血糖的作用．以下为同学们的实验设计方案，请回答相关问题：</w:t>
      </w:r>
    </w:p>
    <w:p>
      <w:pPr>
        <w:pStyle w:val="DefaultParagraph"/>
        <w:rPr>
          <w:b/>
          <w:szCs w:val="21"/>
        </w:rPr>
      </w:pPr>
      <w:r>
        <w:rPr>
          <w:b/>
          <w:szCs w:val="21"/>
        </w:rPr>
        <w:t>（1）实验原理</w:t>
      </w:r>
    </w:p>
    <w:p>
      <w:pPr>
        <w:pStyle w:val="DefaultParagraph"/>
        <w:rPr>
          <w:b/>
          <w:szCs w:val="21"/>
        </w:rPr>
      </w:pPr>
      <w:r>
        <w:rPr>
          <w:b/>
          <w:szCs w:val="21"/>
        </w:rPr>
        <w:t>胰岛素具有降低血糖的仵用．体内胰岛素含量过高时，引起血糖下降，机体出现活动减慢，甚至昏迷等低血糖症状，此症状可以通过补充葡萄糖溶液得到缓解．</w:t>
      </w:r>
    </w:p>
    <w:p>
      <w:pPr>
        <w:pStyle w:val="DefaultParagraph"/>
        <w:rPr>
          <w:b/>
          <w:szCs w:val="21"/>
        </w:rPr>
      </w:pPr>
      <w:r>
        <w:rPr>
          <w:b/>
          <w:szCs w:val="21"/>
        </w:rPr>
        <w:t>（</w:t>
      </w:r>
      <w:r>
        <w:rPr>
          <w:rFonts w:hint="eastAsia"/>
          <w:b/>
          <w:szCs w:val="21"/>
        </w:rPr>
        <w:t>2</w:t>
      </w:r>
      <w:r>
        <w:rPr>
          <w:b/>
          <w:szCs w:val="21"/>
        </w:rPr>
        <w:t>）实验步骤</w:t>
      </w:r>
    </w:p>
    <w:p>
      <w:pPr>
        <w:pStyle w:val="DefaultParagraph"/>
        <w:rPr>
          <w:b/>
          <w:szCs w:val="21"/>
        </w:rPr>
      </w:pPr>
      <w:r>
        <w:rPr>
          <w:b/>
          <w:szCs w:val="21"/>
        </w:rPr>
        <w:t>A、将正常的小鼠随机分成A、B两组，观察并记录小鼠活动状况；</w:t>
      </w:r>
    </w:p>
    <w:p>
      <w:pPr>
        <w:pStyle w:val="DefaultParagraph"/>
        <w:rPr>
          <w:b/>
          <w:szCs w:val="21"/>
        </w:rPr>
      </w:pPr>
      <w:r>
        <w:rPr>
          <w:b/>
          <w:szCs w:val="21"/>
        </w:rPr>
        <w:t>b、A组小鼠注射适量①</w:t>
      </w:r>
      <w:r>
        <w:rPr>
          <w:rFonts w:hint="eastAsia"/>
          <w:b/>
          <w:szCs w:val="21"/>
        </w:rPr>
        <w:t xml:space="preserve"> </w:t>
      </w:r>
      <w:r>
        <w:rPr>
          <w:b/>
          <w:szCs w:val="21"/>
          <w:u w:val="single"/>
        </w:rPr>
        <w:t>　</w:t>
      </w:r>
      <w:r>
        <w:rPr>
          <w:rFonts w:hint="eastAsia"/>
          <w:b/>
          <w:szCs w:val="21"/>
          <w:u w:val="single"/>
        </w:rPr>
        <w:t xml:space="preserve">      </w:t>
      </w:r>
      <w:r>
        <w:rPr>
          <w:b/>
          <w:szCs w:val="21"/>
        </w:rPr>
        <w:t>溶液，B组小鼠注射等量的生理盐水．然后在适宜且相同的条件下培养，观察并记录小鼠活动状况；</w:t>
      </w:r>
    </w:p>
    <w:p>
      <w:pPr>
        <w:pStyle w:val="DefaultParagraph"/>
        <w:rPr>
          <w:b/>
          <w:szCs w:val="21"/>
        </w:rPr>
      </w:pPr>
      <w:r>
        <w:rPr>
          <w:b/>
          <w:szCs w:val="21"/>
        </w:rPr>
        <w:t>C、A、B两组小鼠注射等量的②</w:t>
      </w:r>
      <w:r>
        <w:rPr>
          <w:b/>
          <w:szCs w:val="21"/>
          <w:u w:val="single"/>
        </w:rPr>
        <w:t>　</w:t>
      </w:r>
      <w:r>
        <w:rPr>
          <w:rFonts w:hint="eastAsia"/>
          <w:b/>
          <w:szCs w:val="21"/>
          <w:u w:val="single"/>
        </w:rPr>
        <w:t xml:space="preserve">   </w:t>
      </w:r>
      <w:r>
        <w:rPr>
          <w:b/>
          <w:szCs w:val="21"/>
          <w:u w:val="single"/>
        </w:rPr>
        <w:t>　</w:t>
      </w:r>
      <w:r>
        <w:rPr>
          <w:b/>
          <w:szCs w:val="21"/>
        </w:rPr>
        <w:t>溶液，观察并记录小鼠活动状况．</w:t>
      </w:r>
    </w:p>
    <w:p>
      <w:pPr>
        <w:pStyle w:val="DefaultParagraph"/>
        <w:rPr>
          <w:b/>
          <w:szCs w:val="21"/>
        </w:rPr>
      </w:pPr>
      <w:r>
        <w:rPr>
          <w:b/>
          <w:szCs w:val="21"/>
        </w:rPr>
        <w:t>（</w:t>
      </w:r>
      <w:r>
        <w:rPr>
          <w:rFonts w:hint="eastAsia"/>
          <w:b/>
          <w:szCs w:val="21"/>
        </w:rPr>
        <w:t>3</w:t>
      </w:r>
      <w:r>
        <w:rPr>
          <w:b/>
          <w:szCs w:val="21"/>
        </w:rPr>
        <w:t>）③实验现象</w:t>
      </w:r>
    </w:p>
    <w:p>
      <w:pPr>
        <w:pStyle w:val="DefaultParagraph"/>
        <w:rPr>
          <w:rFonts w:hint="eastAsia"/>
          <w:b/>
          <w:szCs w:val="21"/>
        </w:rPr>
      </w:pPr>
      <w:r>
        <w:rPr>
          <w:b/>
          <w:szCs w:val="21"/>
        </w:rPr>
        <w:t>D、实验步骤b中发现A组小鼠出现四肢无力、活动减少、甚至昏迷等低血糖症状</w:t>
      </w:r>
    </w:p>
    <w:p>
      <w:pPr>
        <w:pStyle w:val="DefaultParagraph"/>
        <w:rPr>
          <w:b/>
          <w:szCs w:val="21"/>
        </w:rPr>
      </w:pPr>
      <w:r>
        <w:rPr>
          <w:b/>
          <w:szCs w:val="21"/>
        </w:rPr>
        <w:t>E、实验步骤c中A组小鼠活动情况是③</w:t>
      </w:r>
      <w:r>
        <w:rPr>
          <w:b/>
          <w:szCs w:val="21"/>
          <w:u w:val="single"/>
        </w:rPr>
        <w:t>　</w:t>
      </w:r>
      <w:r>
        <w:rPr>
          <w:rFonts w:hint="eastAsia"/>
          <w:b/>
          <w:szCs w:val="21"/>
          <w:u w:val="single"/>
        </w:rPr>
        <w:t xml:space="preserve">                                    </w:t>
      </w:r>
      <w:r>
        <w:rPr>
          <w:b/>
          <w:szCs w:val="21"/>
          <w:u w:val="single"/>
        </w:rPr>
        <w:t>　</w:t>
      </w:r>
    </w:p>
    <w:p>
      <w:pPr>
        <w:pStyle w:val="DefaultParagraph"/>
        <w:rPr>
          <w:b/>
          <w:szCs w:val="21"/>
        </w:rPr>
      </w:pPr>
      <w:r>
        <w:rPr>
          <w:b/>
          <w:szCs w:val="21"/>
        </w:rPr>
        <w:t>（</w:t>
      </w:r>
      <w:r>
        <w:rPr>
          <w:rFonts w:hint="eastAsia"/>
          <w:b/>
          <w:szCs w:val="21"/>
        </w:rPr>
        <w:t>4</w:t>
      </w:r>
      <w:r>
        <w:rPr>
          <w:b/>
          <w:szCs w:val="21"/>
        </w:rPr>
        <w:t>）实验结论</w:t>
      </w:r>
    </w:p>
    <w:p>
      <w:pPr>
        <w:pStyle w:val="DefaultParagraph"/>
        <w:rPr>
          <w:b/>
          <w:szCs w:val="21"/>
        </w:rPr>
      </w:pPr>
      <w:r>
        <w:rPr>
          <w:b/>
          <w:szCs w:val="21"/>
        </w:rPr>
        <w:t>胰岛素具有降低血糖的作用．</w:t>
      </w:r>
    </w:p>
    <w:p>
      <w:pPr>
        <w:pStyle w:val="DefaultParagraph"/>
        <w:rPr>
          <w:b/>
          <w:szCs w:val="21"/>
        </w:rPr>
      </w:pPr>
      <w:r>
        <w:rPr>
          <w:b/>
          <w:szCs w:val="21"/>
        </w:rPr>
        <w:t>（</w:t>
      </w:r>
      <w:r>
        <w:rPr>
          <w:rFonts w:hint="eastAsia"/>
          <w:b/>
          <w:szCs w:val="21"/>
        </w:rPr>
        <w:t>5</w:t>
      </w:r>
      <w:r>
        <w:rPr>
          <w:b/>
          <w:szCs w:val="21"/>
        </w:rPr>
        <w:t>）该实验过程中，B组小鼠的作用是④</w:t>
      </w:r>
      <w:r>
        <w:rPr>
          <w:rFonts w:hint="eastAsia"/>
          <w:b/>
          <w:szCs w:val="21"/>
          <w:u w:val="single"/>
        </w:rPr>
        <w:t xml:space="preserve">         </w:t>
      </w:r>
      <w:r>
        <w:rPr>
          <w:b/>
          <w:szCs w:val="21"/>
          <w:u w:val="single"/>
        </w:rPr>
        <w:t>　</w:t>
      </w:r>
      <w:r>
        <w:rPr>
          <w:b/>
          <w:szCs w:val="21"/>
        </w:rPr>
        <w:t>，每组小鼠在实验步骤中每﹣步都要观察记录活动状况，这样前后就形成了⑤</w:t>
      </w:r>
      <w:r>
        <w:rPr>
          <w:b/>
          <w:szCs w:val="21"/>
          <w:u w:val="single"/>
        </w:rPr>
        <w:t>　</w:t>
      </w:r>
      <w:r>
        <w:rPr>
          <w:rFonts w:hint="eastAsia"/>
          <w:b/>
          <w:szCs w:val="21"/>
          <w:u w:val="single"/>
        </w:rPr>
        <w:t xml:space="preserve">         </w:t>
      </w:r>
      <w:r>
        <w:rPr>
          <w:b/>
          <w:szCs w:val="21"/>
          <w:u w:val="single"/>
        </w:rPr>
        <w:t>　</w:t>
      </w:r>
      <w:r>
        <w:rPr>
          <w:b/>
          <w:szCs w:val="21"/>
        </w:rPr>
        <w:t>．</w:t>
      </w:r>
    </w:p>
    <w:p>
      <w:pPr>
        <w:adjustRightInd w:val="0"/>
        <w:spacing w:line="360" w:lineRule="auto"/>
        <w:rPr>
          <w:rFonts w:ascii="宋体" w:hAnsi="宋体" w:hint="eastAsia"/>
          <w:b/>
          <w:szCs w:val="21"/>
        </w:rPr>
      </w:pPr>
    </w:p>
    <w:p>
      <w:pPr>
        <w:spacing w:line="360" w:lineRule="auto"/>
        <w:jc w:val="both"/>
        <w:rPr>
          <w:rFonts w:hint="eastAsia"/>
          <w:b/>
          <w:sz w:val="28"/>
          <w:szCs w:val="28"/>
        </w:rPr>
      </w:pPr>
    </w:p>
    <w:p>
      <w:pPr>
        <w:spacing w:line="360" w:lineRule="auto"/>
        <w:jc w:val="both"/>
        <w:rPr>
          <w:rFonts w:hint="eastAsia"/>
          <w:b/>
          <w:sz w:val="28"/>
          <w:szCs w:val="28"/>
        </w:rPr>
      </w:pPr>
    </w:p>
    <w:p>
      <w:pPr>
        <w:spacing w:line="360" w:lineRule="auto"/>
        <w:jc w:val="both"/>
        <w:rPr>
          <w:rFonts w:hint="eastAsia"/>
          <w:b/>
          <w:sz w:val="28"/>
          <w:szCs w:val="28"/>
        </w:rPr>
      </w:pPr>
    </w:p>
    <w:p>
      <w:pPr>
        <w:spacing w:line="360" w:lineRule="auto"/>
        <w:jc w:val="both"/>
        <w:rPr>
          <w:rFonts w:hint="eastAsia"/>
          <w:b/>
          <w:sz w:val="28"/>
          <w:szCs w:val="28"/>
        </w:rPr>
      </w:pPr>
    </w:p>
    <w:p>
      <w:pPr>
        <w:spacing w:line="360" w:lineRule="auto"/>
        <w:jc w:val="both"/>
        <w:rPr>
          <w:rFonts w:hint="eastAsia"/>
          <w:b/>
          <w:sz w:val="28"/>
          <w:szCs w:val="28"/>
        </w:rPr>
      </w:pPr>
    </w:p>
    <w:p>
      <w:pPr>
        <w:spacing w:line="360" w:lineRule="auto"/>
        <w:jc w:val="both"/>
        <w:rPr>
          <w:rFonts w:hint="eastAsia"/>
          <w:b/>
          <w:sz w:val="28"/>
          <w:szCs w:val="28"/>
        </w:rPr>
      </w:pPr>
    </w:p>
    <w:p>
      <w:pPr>
        <w:spacing w:line="360" w:lineRule="auto"/>
        <w:jc w:val="both"/>
        <w:rPr>
          <w:rFonts w:hint="eastAsia"/>
          <w:b/>
          <w:sz w:val="28"/>
          <w:szCs w:val="28"/>
        </w:rPr>
      </w:pPr>
    </w:p>
    <w:p>
      <w:pPr>
        <w:spacing w:line="360" w:lineRule="auto"/>
        <w:jc w:val="both"/>
        <w:rPr>
          <w:rFonts w:hint="eastAsia"/>
          <w:b/>
          <w:sz w:val="28"/>
          <w:szCs w:val="28"/>
        </w:rPr>
      </w:pPr>
    </w:p>
    <w:p>
      <w:pPr>
        <w:spacing w:line="360" w:lineRule="auto"/>
        <w:jc w:val="both"/>
        <w:rPr>
          <w:rFonts w:hint="eastAsia"/>
          <w:b/>
          <w:sz w:val="28"/>
          <w:szCs w:val="28"/>
        </w:rPr>
      </w:pPr>
    </w:p>
    <w:p>
      <w:pPr>
        <w:spacing w:line="360" w:lineRule="auto"/>
        <w:jc w:val="both"/>
        <w:rPr>
          <w:rFonts w:hint="eastAsia"/>
          <w:b/>
          <w:sz w:val="28"/>
          <w:szCs w:val="28"/>
        </w:rPr>
      </w:pPr>
    </w:p>
    <w:p>
      <w:pPr>
        <w:spacing w:line="360" w:lineRule="auto"/>
        <w:jc w:val="both"/>
        <w:rPr>
          <w:rFonts w:hint="eastAsia"/>
          <w:b/>
          <w:color w:val="0000FF"/>
          <w:sz w:val="28"/>
          <w:szCs w:val="28"/>
        </w:rPr>
      </w:pPr>
      <w:r>
        <w:rPr>
          <w:rFonts w:hint="eastAsia"/>
          <w:b/>
          <w:color w:val="0000FF"/>
          <w:sz w:val="28"/>
          <w:szCs w:val="28"/>
        </w:rPr>
        <w:t>高二月考生物参考答案</w:t>
      </w:r>
    </w:p>
    <w:p>
      <w:pPr>
        <w:spacing w:line="360" w:lineRule="auto"/>
        <w:rPr>
          <w:rFonts w:hint="eastAsia"/>
          <w:sz w:val="28"/>
          <w:szCs w:val="28"/>
        </w:rPr>
      </w:pPr>
      <w:r>
        <w:rPr>
          <w:rFonts w:hint="eastAsia"/>
          <w:sz w:val="28"/>
          <w:szCs w:val="28"/>
        </w:rPr>
        <w:t>一、选择题（每空1.5分，共60分）</w:t>
      </w:r>
    </w:p>
    <w:p>
      <w:pPr>
        <w:spacing w:line="360" w:lineRule="auto"/>
        <w:rPr>
          <w:rFonts w:hint="eastAsia"/>
          <w:sz w:val="28"/>
          <w:szCs w:val="28"/>
          <w:lang w:val="es-VE"/>
        </w:rPr>
      </w:pPr>
      <w:r>
        <w:rPr>
          <w:rFonts w:hint="eastAsia"/>
          <w:sz w:val="28"/>
          <w:szCs w:val="28"/>
          <w:lang w:val="es-VE"/>
        </w:rPr>
        <w:t>1</w:t>
      </w:r>
      <w:r>
        <w:rPr>
          <w:rFonts w:hint="eastAsia"/>
          <w:sz w:val="28"/>
          <w:szCs w:val="28"/>
          <w:lang w:val="es-VE"/>
        </w:rPr>
        <w:t>——</w:t>
      </w:r>
      <w:r>
        <w:rPr>
          <w:rFonts w:hint="eastAsia"/>
          <w:sz w:val="28"/>
          <w:szCs w:val="28"/>
          <w:lang w:val="es-VE"/>
        </w:rPr>
        <w:t>10          CCDCA    BCDAD</w:t>
      </w:r>
    </w:p>
    <w:p>
      <w:pPr>
        <w:spacing w:line="360" w:lineRule="auto"/>
        <w:rPr>
          <w:rFonts w:hint="eastAsia"/>
          <w:sz w:val="28"/>
          <w:szCs w:val="28"/>
          <w:lang w:val="es-VE"/>
        </w:rPr>
      </w:pPr>
      <w:r>
        <w:rPr>
          <w:rFonts w:hint="eastAsia"/>
          <w:sz w:val="28"/>
          <w:szCs w:val="28"/>
          <w:lang w:val="es-VE"/>
        </w:rPr>
        <w:t>11</w:t>
      </w:r>
      <w:r>
        <w:rPr>
          <w:rFonts w:hint="eastAsia"/>
          <w:sz w:val="28"/>
          <w:szCs w:val="28"/>
          <w:lang w:val="es-VE"/>
        </w:rPr>
        <w:t>——</w:t>
      </w:r>
      <w:r>
        <w:rPr>
          <w:rFonts w:hint="eastAsia"/>
          <w:sz w:val="28"/>
          <w:szCs w:val="28"/>
          <w:lang w:val="es-VE"/>
        </w:rPr>
        <w:t>20         DDCCD    BBCDD</w:t>
      </w:r>
    </w:p>
    <w:p>
      <w:pPr>
        <w:spacing w:line="360" w:lineRule="auto"/>
        <w:rPr>
          <w:rFonts w:hint="eastAsia"/>
          <w:sz w:val="28"/>
          <w:szCs w:val="28"/>
          <w:lang w:val="es-VE"/>
        </w:rPr>
      </w:pPr>
      <w:r>
        <w:rPr>
          <w:rFonts w:hint="eastAsia"/>
          <w:sz w:val="28"/>
          <w:szCs w:val="28"/>
          <w:lang w:val="es-VE"/>
        </w:rPr>
        <w:t>21</w:t>
      </w:r>
      <w:r>
        <w:rPr>
          <w:rFonts w:hint="eastAsia"/>
          <w:sz w:val="28"/>
          <w:szCs w:val="28"/>
          <w:lang w:val="es-VE"/>
        </w:rPr>
        <w:t>——</w:t>
      </w:r>
      <w:r>
        <w:rPr>
          <w:rFonts w:hint="eastAsia"/>
          <w:sz w:val="28"/>
          <w:szCs w:val="28"/>
          <w:lang w:val="es-VE"/>
        </w:rPr>
        <w:t>30         CDDBB    DADCC</w:t>
      </w:r>
    </w:p>
    <w:p>
      <w:pPr>
        <w:spacing w:line="360" w:lineRule="auto"/>
        <w:rPr>
          <w:rFonts w:hint="eastAsia"/>
          <w:sz w:val="28"/>
          <w:szCs w:val="28"/>
        </w:rPr>
      </w:pPr>
      <w:r>
        <w:rPr>
          <w:rFonts w:hint="eastAsia"/>
          <w:sz w:val="28"/>
          <w:szCs w:val="28"/>
        </w:rPr>
        <w:t>二、非选择题（每空2分.共40分）</w:t>
      </w:r>
    </w:p>
    <w:p>
      <w:pPr>
        <w:spacing w:before="100" w:beforeAutospacing="1" w:after="100" w:afterAutospacing="1" w:line="360" w:lineRule="exact"/>
        <w:rPr>
          <w:rFonts w:hint="eastAsia"/>
          <w:b/>
          <w:sz w:val="24"/>
        </w:rPr>
      </w:pPr>
      <w:r>
        <w:rPr>
          <w:rFonts w:hint="eastAsia"/>
          <w:b/>
          <w:sz w:val="24"/>
        </w:rPr>
        <w:t xml:space="preserve">31、（10分） </w:t>
      </w:r>
    </w:p>
    <w:p>
      <w:pPr>
        <w:spacing w:before="100" w:beforeAutospacing="1" w:after="100" w:afterAutospacing="1" w:line="360" w:lineRule="exact"/>
        <w:rPr>
          <w:rFonts w:ascii="宋体" w:hAnsi="宋体" w:hint="eastAsia"/>
          <w:b/>
          <w:sz w:val="24"/>
        </w:rPr>
      </w:pPr>
      <w:r>
        <w:rPr>
          <w:rFonts w:hint="eastAsia"/>
          <w:b/>
          <w:sz w:val="24"/>
        </w:rPr>
        <w:t>（1）</w:t>
      </w:r>
      <w:r>
        <w:rPr>
          <w:u w:val="single"/>
        </w:rPr>
        <w:t>　血浆　</w:t>
      </w:r>
      <w:r>
        <w:t>、</w:t>
      </w:r>
      <w:r>
        <w:rPr>
          <w:u w:val="single"/>
        </w:rPr>
        <w:t>　组织液　</w:t>
      </w:r>
      <w:r>
        <w:t>、</w:t>
      </w:r>
      <w:r>
        <w:rPr>
          <w:u w:val="single"/>
        </w:rPr>
        <w:t>　淋巴　</w:t>
      </w:r>
    </w:p>
    <w:p>
      <w:pPr>
        <w:adjustRightInd w:val="0"/>
        <w:spacing w:line="360" w:lineRule="auto"/>
        <w:jc w:val="left"/>
        <w:rPr>
          <w:rFonts w:hint="eastAsia"/>
          <w:b/>
          <w:sz w:val="24"/>
        </w:rPr>
      </w:pPr>
      <w:r>
        <w:rPr>
          <w:rFonts w:hAnsi="宋体"/>
          <w:b/>
          <w:sz w:val="24"/>
        </w:rPr>
        <w:t>（2）</w:t>
      </w:r>
      <w:r>
        <w:rPr>
          <w:rFonts w:ascii="宋体" w:hAnsi="宋体" w:hint="eastAsia"/>
        </w:rPr>
        <w:t>[</w:t>
      </w:r>
      <w:r>
        <w:rPr>
          <w:u w:val="single"/>
        </w:rPr>
        <w:t>　B　</w:t>
      </w:r>
      <w:r>
        <w:rPr>
          <w:rFonts w:ascii="宋体" w:hAnsi="宋体" w:hint="eastAsia"/>
        </w:rPr>
        <w:t>]</w:t>
      </w:r>
      <w:r>
        <w:rPr>
          <w:u w:val="single"/>
        </w:rPr>
        <w:t>　组织液　</w:t>
      </w:r>
      <w:r>
        <w:rPr>
          <w:rFonts w:hint="eastAsia"/>
          <w:b/>
          <w:sz w:val="24"/>
        </w:rPr>
        <w:t xml:space="preserve">     </w:t>
      </w:r>
    </w:p>
    <w:p>
      <w:pPr>
        <w:adjustRightInd w:val="0"/>
        <w:spacing w:line="360" w:lineRule="auto"/>
        <w:jc w:val="left"/>
        <w:rPr>
          <w:rFonts w:hint="eastAsia"/>
          <w:b/>
          <w:sz w:val="24"/>
        </w:rPr>
      </w:pPr>
      <w:r>
        <w:rPr>
          <w:rFonts w:hint="eastAsia"/>
          <w:b/>
          <w:sz w:val="24"/>
        </w:rPr>
        <w:t>（3）</w:t>
      </w:r>
      <w:r>
        <w:rPr>
          <w:u w:val="single"/>
        </w:rPr>
        <w:t>　C→B→A　</w:t>
      </w:r>
      <w:r>
        <w:rPr>
          <w:rFonts w:hint="eastAsia"/>
          <w:b/>
          <w:sz w:val="24"/>
        </w:rPr>
        <w:t xml:space="preserve">  </w:t>
      </w:r>
    </w:p>
    <w:p>
      <w:pPr>
        <w:adjustRightInd w:val="0"/>
        <w:spacing w:line="360" w:lineRule="auto"/>
        <w:jc w:val="left"/>
        <w:rPr>
          <w:rFonts w:hint="eastAsia"/>
          <w:b/>
          <w:sz w:val="24"/>
        </w:rPr>
      </w:pPr>
      <w:r>
        <w:rPr>
          <w:rFonts w:hint="eastAsia"/>
          <w:b/>
          <w:sz w:val="24"/>
        </w:rPr>
        <w:t>（4）神经</w:t>
      </w:r>
      <w:r>
        <w:rPr>
          <w:rFonts w:hint="eastAsia"/>
          <w:b/>
          <w:sz w:val="24"/>
        </w:rPr>
        <w:t>—</w:t>
      </w:r>
      <w:r>
        <w:rPr>
          <w:rFonts w:hint="eastAsia"/>
          <w:b/>
          <w:sz w:val="24"/>
        </w:rPr>
        <w:t>体液_</w:t>
      </w:r>
    </w:p>
    <w:p>
      <w:pPr>
        <w:adjustRightInd w:val="0"/>
        <w:spacing w:line="360" w:lineRule="auto"/>
        <w:jc w:val="left"/>
        <w:rPr>
          <w:rFonts w:hint="eastAsia"/>
          <w:b/>
          <w:sz w:val="24"/>
        </w:rPr>
      </w:pPr>
      <w:r>
        <w:rPr>
          <w:rFonts w:hint="eastAsia"/>
          <w:b/>
          <w:sz w:val="24"/>
        </w:rPr>
        <w:t>（5）</w:t>
      </w:r>
      <w:r>
        <w:rPr>
          <w:u w:val="single"/>
        </w:rPr>
        <w:t>　胰高血糖素　</w:t>
      </w:r>
      <w:r>
        <w:rPr>
          <w:rFonts w:ascii="宋体" w:hAnsi="宋体" w:hint="eastAsia"/>
          <w:b/>
          <w:szCs w:val="21"/>
          <w:u w:val="single"/>
        </w:rPr>
        <w:t xml:space="preserve"> </w:t>
      </w:r>
    </w:p>
    <w:p>
      <w:pPr>
        <w:ind w:firstLine="600" w:firstLineChars="250"/>
        <w:rPr>
          <w:rFonts w:ascii="宋体" w:hAnsi="宋体" w:hint="eastAsia"/>
          <w:b/>
          <w:sz w:val="24"/>
        </w:rPr>
      </w:pPr>
      <w:r>
        <w:rPr>
          <w:rFonts w:ascii="宋体" w:hAnsi="宋体" w:hint="eastAsia"/>
          <w:b/>
          <w:sz w:val="24"/>
        </w:rPr>
        <w:t xml:space="preserve">                                                         </w:t>
      </w:r>
    </w:p>
    <w:p>
      <w:pPr>
        <w:pStyle w:val="PlainText"/>
        <w:spacing w:line="360" w:lineRule="auto"/>
        <w:rPr>
          <w:rFonts w:hAnsi="宋体" w:hint="eastAsia"/>
          <w:b/>
          <w:sz w:val="24"/>
          <w:szCs w:val="24"/>
        </w:rPr>
      </w:pPr>
    </w:p>
    <w:p>
      <w:pPr>
        <w:spacing w:line="360" w:lineRule="exact"/>
        <w:rPr>
          <w:rFonts w:ascii="宋体" w:hAnsi="宋体" w:hint="eastAsia"/>
          <w:b/>
          <w:sz w:val="24"/>
        </w:rPr>
      </w:pPr>
      <w:r>
        <w:rPr>
          <w:rFonts w:ascii="宋体" w:hAnsi="宋体" w:hint="eastAsia"/>
          <w:b/>
          <w:sz w:val="24"/>
        </w:rPr>
        <w:t>32、（10分）</w:t>
      </w:r>
    </w:p>
    <w:p>
      <w:pPr>
        <w:spacing w:line="360" w:lineRule="exact"/>
        <w:rPr>
          <w:rFonts w:ascii="宋体" w:hAnsi="宋体" w:hint="eastAsia"/>
          <w:b/>
          <w:sz w:val="24"/>
        </w:rPr>
      </w:pPr>
    </w:p>
    <w:p>
      <w:pPr>
        <w:spacing w:line="360" w:lineRule="exact"/>
        <w:rPr>
          <w:rFonts w:ascii="宋体" w:hAnsi="宋体" w:hint="eastAsia"/>
          <w:b/>
          <w:sz w:val="24"/>
        </w:rPr>
      </w:pPr>
      <w:r>
        <w:rPr>
          <w:rFonts w:ascii="宋体" w:hAnsi="宋体" w:hint="eastAsia"/>
          <w:b/>
          <w:sz w:val="24"/>
        </w:rPr>
        <w:t>（1）</w:t>
      </w:r>
      <w:r>
        <w:rPr>
          <w:u w:val="single"/>
        </w:rPr>
        <w:t>细胞膜具有流动性</w:t>
      </w:r>
      <w:r>
        <w:rPr>
          <w:rFonts w:ascii="宋体" w:hAnsi="宋体" w:hint="eastAsia"/>
          <w:b/>
          <w:sz w:val="24"/>
        </w:rPr>
        <w:t xml:space="preserve"> </w:t>
      </w:r>
    </w:p>
    <w:p>
      <w:pPr>
        <w:spacing w:before="100" w:beforeAutospacing="1" w:after="100" w:afterAutospacing="1" w:line="360" w:lineRule="exact"/>
        <w:rPr>
          <w:rFonts w:hint="eastAsia"/>
          <w:b/>
          <w:sz w:val="24"/>
        </w:rPr>
      </w:pPr>
      <w:r>
        <w:rPr>
          <w:rFonts w:hint="eastAsia"/>
          <w:b/>
          <w:sz w:val="24"/>
        </w:rPr>
        <w:t>（2）</w:t>
      </w:r>
      <w:r>
        <w:rPr>
          <w:u w:val="single"/>
        </w:rPr>
        <w:t>Na　</w:t>
      </w:r>
      <w:r>
        <w:t>离子的</w:t>
      </w:r>
      <w:r>
        <w:rPr>
          <w:u w:val="single"/>
        </w:rPr>
        <w:t>　内流</w:t>
      </w:r>
      <w:r>
        <w:rPr>
          <w:rFonts w:ascii="宋体" w:hAnsi="宋体" w:hint="eastAsia"/>
          <w:b/>
          <w:sz w:val="24"/>
        </w:rPr>
        <w:t xml:space="preserve"> </w:t>
      </w:r>
    </w:p>
    <w:p>
      <w:pPr>
        <w:adjustRightInd w:val="0"/>
        <w:spacing w:line="360" w:lineRule="auto"/>
        <w:jc w:val="left"/>
        <w:rPr>
          <w:rFonts w:hint="eastAsia"/>
          <w:b/>
          <w:sz w:val="24"/>
        </w:rPr>
      </w:pPr>
      <w:r>
        <w:rPr>
          <w:rFonts w:hint="eastAsia"/>
          <w:b/>
          <w:sz w:val="24"/>
        </w:rPr>
        <w:t>（3）</w:t>
      </w:r>
      <w:r>
        <w:rPr>
          <w:u w:val="single"/>
        </w:rPr>
        <w:t>促进神经递质的释放</w:t>
      </w:r>
      <w:r>
        <w:rPr>
          <w:rFonts w:hint="eastAsia"/>
          <w:b/>
          <w:sz w:val="24"/>
        </w:rPr>
        <w:t xml:space="preserve">_ </w:t>
      </w:r>
    </w:p>
    <w:p>
      <w:pPr>
        <w:adjustRightInd w:val="0"/>
        <w:spacing w:line="360" w:lineRule="auto"/>
        <w:jc w:val="left"/>
        <w:rPr>
          <w:rFonts w:hint="eastAsia"/>
          <w:u w:val="single"/>
        </w:rPr>
      </w:pPr>
      <w:r>
        <w:rPr>
          <w:rFonts w:hint="eastAsia"/>
          <w:b/>
          <w:sz w:val="24"/>
        </w:rPr>
        <w:t>（4）_</w:t>
      </w:r>
      <w:r>
        <w:rPr>
          <w:u w:val="single"/>
        </w:rPr>
        <w:t>减少</w:t>
      </w:r>
    </w:p>
    <w:p>
      <w:pPr>
        <w:adjustRightInd w:val="0"/>
        <w:spacing w:line="360" w:lineRule="auto"/>
        <w:jc w:val="left"/>
        <w:rPr>
          <w:rFonts w:hint="eastAsia"/>
          <w:b/>
          <w:sz w:val="24"/>
        </w:rPr>
      </w:pPr>
      <w:r>
        <w:rPr>
          <w:rFonts w:hint="eastAsia"/>
          <w:b/>
          <w:sz w:val="24"/>
        </w:rPr>
        <w:t>（5）</w:t>
      </w:r>
      <w:r>
        <w:rPr>
          <w:u w:val="single"/>
        </w:rPr>
        <w:t>（新）突触　</w:t>
      </w:r>
    </w:p>
    <w:p>
      <w:pPr>
        <w:spacing w:line="360" w:lineRule="exact"/>
        <w:rPr>
          <w:rFonts w:hint="eastAsia"/>
          <w:b/>
          <w:sz w:val="24"/>
        </w:rPr>
      </w:pPr>
      <w:r>
        <w:rPr>
          <w:rFonts w:ascii="宋体" w:hAnsi="宋体" w:hint="eastAsia"/>
          <w:b/>
          <w:sz w:val="24"/>
        </w:rPr>
        <w:t xml:space="preserve">   </w:t>
      </w:r>
    </w:p>
    <w:p>
      <w:pPr>
        <w:adjustRightInd w:val="0"/>
        <w:spacing w:line="360" w:lineRule="auto"/>
        <w:jc w:val="left"/>
        <w:rPr>
          <w:rFonts w:hint="eastAsia"/>
          <w:b/>
          <w:sz w:val="24"/>
        </w:rPr>
      </w:pPr>
      <w:r>
        <w:rPr>
          <w:rFonts w:hint="eastAsia"/>
          <w:b/>
          <w:sz w:val="24"/>
        </w:rPr>
        <w:t>33、（10分）</w:t>
      </w:r>
    </w:p>
    <w:p>
      <w:pPr>
        <w:spacing w:line="360" w:lineRule="exact"/>
        <w:rPr>
          <w:rFonts w:ascii="宋体" w:hAnsi="宋体" w:hint="eastAsia"/>
          <w:b/>
          <w:sz w:val="24"/>
        </w:rPr>
      </w:pPr>
      <w:r>
        <w:rPr>
          <w:rFonts w:ascii="宋体" w:hAnsi="宋体" w:hint="eastAsia"/>
          <w:b/>
          <w:sz w:val="24"/>
        </w:rPr>
        <w:t>（1）</w:t>
      </w:r>
      <w:r>
        <w:rPr>
          <w:u w:val="single"/>
        </w:rPr>
        <w:t>体液免疫和细胞免疫（特异性免疫）</w:t>
      </w:r>
      <w:r>
        <w:rPr>
          <w:rFonts w:ascii="宋体" w:hAnsi="宋体" w:hint="eastAsia"/>
          <w:b/>
          <w:sz w:val="24"/>
        </w:rPr>
        <w:t xml:space="preserve"> </w:t>
      </w:r>
    </w:p>
    <w:p>
      <w:pPr>
        <w:spacing w:before="100" w:beforeAutospacing="1" w:after="100" w:afterAutospacing="1" w:line="360" w:lineRule="exact"/>
        <w:rPr>
          <w:rFonts w:hint="eastAsia"/>
          <w:b/>
          <w:sz w:val="24"/>
        </w:rPr>
      </w:pPr>
      <w:r>
        <w:rPr>
          <w:rFonts w:hint="eastAsia"/>
          <w:b/>
          <w:sz w:val="24"/>
        </w:rPr>
        <w:t>（2）</w:t>
      </w:r>
      <w:r>
        <w:rPr>
          <w:u w:val="single"/>
        </w:rPr>
        <w:t>细胞分化</w:t>
      </w:r>
      <w:r>
        <w:rPr>
          <w:rFonts w:ascii="宋体" w:hAnsi="宋体" w:hint="eastAsia"/>
          <w:b/>
          <w:sz w:val="24"/>
          <w:u w:val="single"/>
        </w:rPr>
        <w:t xml:space="preserve">    </w:t>
      </w:r>
    </w:p>
    <w:p>
      <w:pPr>
        <w:adjustRightInd w:val="0"/>
        <w:spacing w:line="360" w:lineRule="auto"/>
        <w:jc w:val="left"/>
        <w:rPr>
          <w:rFonts w:hint="eastAsia"/>
          <w:b/>
          <w:sz w:val="24"/>
        </w:rPr>
      </w:pPr>
      <w:r>
        <w:rPr>
          <w:rFonts w:hint="eastAsia"/>
          <w:b/>
          <w:sz w:val="24"/>
        </w:rPr>
        <w:t>（3）</w:t>
      </w:r>
      <w:r>
        <w:rPr>
          <w:u w:val="single"/>
        </w:rPr>
        <w:t>相同的抗原（或过敏原）</w:t>
      </w:r>
      <w:r>
        <w:rPr>
          <w:rFonts w:hint="eastAsia"/>
          <w:b/>
          <w:sz w:val="24"/>
        </w:rPr>
        <w:t xml:space="preserve"> </w:t>
      </w:r>
    </w:p>
    <w:p>
      <w:pPr>
        <w:adjustRightInd w:val="0"/>
        <w:spacing w:line="360" w:lineRule="auto"/>
        <w:jc w:val="left"/>
        <w:rPr>
          <w:rFonts w:hint="eastAsia"/>
          <w:u w:val="single"/>
        </w:rPr>
      </w:pPr>
      <w:r>
        <w:rPr>
          <w:rFonts w:hint="eastAsia"/>
          <w:b/>
          <w:sz w:val="24"/>
        </w:rPr>
        <w:t>（4）</w:t>
      </w:r>
      <w:r>
        <w:rPr>
          <w:u w:val="single"/>
        </w:rPr>
        <w:t>a　</w:t>
      </w:r>
    </w:p>
    <w:p>
      <w:pPr>
        <w:adjustRightInd w:val="0"/>
        <w:spacing w:line="360" w:lineRule="auto"/>
        <w:jc w:val="left"/>
        <w:rPr>
          <w:rFonts w:hint="eastAsia"/>
          <w:b/>
          <w:sz w:val="24"/>
        </w:rPr>
      </w:pPr>
      <w:r>
        <w:rPr>
          <w:rFonts w:hint="eastAsia"/>
          <w:b/>
          <w:sz w:val="24"/>
        </w:rPr>
        <w:t>（5）</w:t>
      </w:r>
      <w:r>
        <w:rPr>
          <w:u w:val="single"/>
        </w:rPr>
        <w:t>　下丘脑　</w:t>
      </w:r>
      <w:r>
        <w:rPr>
          <w:rFonts w:ascii="宋体" w:hAnsi="宋体" w:hint="eastAsia"/>
          <w:b/>
          <w:szCs w:val="21"/>
          <w:u w:val="single"/>
        </w:rPr>
        <w:t xml:space="preserve"> </w:t>
      </w:r>
    </w:p>
    <w:p>
      <w:pPr>
        <w:adjustRightInd w:val="0"/>
        <w:spacing w:line="360" w:lineRule="auto"/>
        <w:ind w:firstLine="240" w:firstLineChars="100"/>
        <w:jc w:val="left"/>
        <w:rPr>
          <w:rFonts w:hint="eastAsia"/>
          <w:b/>
          <w:sz w:val="24"/>
        </w:rPr>
      </w:pPr>
    </w:p>
    <w:p>
      <w:pPr>
        <w:adjustRightInd w:val="0"/>
        <w:spacing w:line="360" w:lineRule="auto"/>
        <w:jc w:val="left"/>
        <w:rPr>
          <w:rFonts w:hint="eastAsia"/>
          <w:b/>
          <w:sz w:val="24"/>
        </w:rPr>
      </w:pPr>
      <w:r>
        <w:rPr>
          <w:rFonts w:ascii="宋体" w:hAnsi="宋体" w:hint="eastAsia"/>
          <w:b/>
          <w:sz w:val="24"/>
        </w:rPr>
        <w:t xml:space="preserve"> </w:t>
      </w:r>
      <w:r>
        <w:rPr>
          <w:rFonts w:hint="eastAsia"/>
          <w:b/>
          <w:sz w:val="24"/>
        </w:rPr>
        <w:t>34、（10分）</w:t>
      </w:r>
    </w:p>
    <w:p>
      <w:pPr>
        <w:spacing w:line="360" w:lineRule="exact"/>
        <w:rPr>
          <w:rFonts w:ascii="宋体" w:hAnsi="宋体" w:hint="eastAsia"/>
          <w:b/>
          <w:sz w:val="24"/>
        </w:rPr>
      </w:pPr>
      <w:r>
        <w:t>①</w:t>
      </w:r>
      <w:r>
        <w:rPr>
          <w:rFonts w:ascii="宋体" w:hAnsi="宋体" w:hint="eastAsia"/>
          <w:b/>
          <w:sz w:val="24"/>
        </w:rPr>
        <w:t xml:space="preserve"> </w:t>
      </w:r>
      <w:r>
        <w:rPr>
          <w:rFonts w:ascii="宋体" w:hAnsi="宋体"/>
          <w:b/>
          <w:sz w:val="24"/>
          <w:u w:val="single"/>
        </w:rPr>
        <w:t xml:space="preserve"> </w:t>
      </w:r>
      <w:r>
        <w:rPr>
          <w:u w:val="single"/>
        </w:rPr>
        <w:t>用生理盐水配制的胰岛素</w:t>
      </w:r>
      <w:r>
        <w:rPr>
          <w:rFonts w:ascii="宋体" w:hAnsi="宋体"/>
          <w:b/>
          <w:sz w:val="24"/>
          <w:u w:val="single"/>
        </w:rPr>
        <w:t xml:space="preserve"> </w:t>
      </w:r>
    </w:p>
    <w:p>
      <w:pPr>
        <w:spacing w:before="100" w:beforeAutospacing="1" w:after="100" w:afterAutospacing="1" w:line="360" w:lineRule="exact"/>
        <w:rPr>
          <w:rFonts w:hint="eastAsia"/>
          <w:b/>
          <w:sz w:val="24"/>
        </w:rPr>
      </w:pPr>
      <w:r>
        <w:t>②</w:t>
      </w:r>
      <w:r>
        <w:rPr>
          <w:u w:val="single"/>
        </w:rPr>
        <w:t>葡萄糖</w:t>
      </w:r>
      <w:r>
        <w:rPr>
          <w:rFonts w:ascii="宋体" w:hAnsi="宋体" w:hint="eastAsia"/>
          <w:b/>
          <w:sz w:val="24"/>
          <w:u w:val="single"/>
        </w:rPr>
        <w:t xml:space="preserve"> </w:t>
      </w:r>
    </w:p>
    <w:p>
      <w:pPr>
        <w:adjustRightInd w:val="0"/>
        <w:spacing w:line="360" w:lineRule="auto"/>
        <w:jc w:val="left"/>
        <w:rPr>
          <w:rFonts w:hint="eastAsia"/>
          <w:b/>
          <w:sz w:val="24"/>
        </w:rPr>
      </w:pPr>
      <w:r>
        <w:t>③</w:t>
      </w:r>
      <w:r>
        <w:rPr>
          <w:u w:val="single"/>
        </w:rPr>
        <w:t>低血糖症状缓解，活动恢复正常　</w:t>
      </w:r>
      <w:r>
        <w:rPr>
          <w:rFonts w:hint="eastAsia"/>
          <w:b/>
          <w:sz w:val="24"/>
        </w:rPr>
        <w:t xml:space="preserve"> </w:t>
      </w:r>
    </w:p>
    <w:p>
      <w:pPr>
        <w:adjustRightInd w:val="0"/>
        <w:spacing w:line="360" w:lineRule="auto"/>
        <w:jc w:val="left"/>
        <w:rPr>
          <w:rFonts w:hint="eastAsia"/>
          <w:u w:val="single"/>
        </w:rPr>
      </w:pPr>
      <w:r>
        <w:t>④</w:t>
      </w:r>
      <w:r>
        <w:rPr>
          <w:rFonts w:hint="eastAsia"/>
          <w:b/>
          <w:sz w:val="24"/>
        </w:rPr>
        <w:t>_</w:t>
      </w:r>
      <w:r>
        <w:rPr>
          <w:u w:val="single"/>
        </w:rPr>
        <w:t>作为对照（空白对照）</w:t>
      </w:r>
    </w:p>
    <w:p>
      <w:pPr>
        <w:adjustRightInd w:val="0"/>
        <w:spacing w:line="360" w:lineRule="auto"/>
        <w:jc w:val="left"/>
        <w:rPr>
          <w:rFonts w:hint="eastAsia"/>
          <w:b/>
          <w:sz w:val="24"/>
        </w:rPr>
      </w:pPr>
      <w:r>
        <w:t>⑤</w:t>
      </w:r>
      <w:r>
        <w:rPr>
          <w:rFonts w:hint="eastAsia"/>
          <w:b/>
          <w:sz w:val="24"/>
        </w:rPr>
        <w:t>_</w:t>
      </w:r>
      <w:r>
        <w:rPr>
          <w:u w:val="single"/>
        </w:rPr>
        <w:t>自身对照　</w:t>
      </w:r>
      <w:r>
        <w:rPr>
          <w:rFonts w:ascii="宋体" w:hAnsi="宋体" w:hint="eastAsia"/>
          <w:b/>
          <w:szCs w:val="21"/>
          <w:u w:val="single"/>
        </w:rPr>
        <w:t xml:space="preserve"> </w:t>
      </w:r>
    </w:p>
    <w:p>
      <w:pPr>
        <w:rPr>
          <w:rFonts w:ascii="宋体" w:hAnsi="宋体" w:hint="eastAsia"/>
          <w:b/>
          <w:sz w:val="24"/>
        </w:rPr>
      </w:pPr>
    </w:p>
    <w:sectPr>
      <w:headerReference w:type="default" r:id="rId38"/>
      <w:footerReference w:type="default" r:id="rId39"/>
      <w:pgSz w:w="22107" w:h="15309" w:orient="landscape"/>
      <w:pgMar w:top="1531" w:right="1531" w:bottom="1814" w:left="2608" w:header="851" w:footer="992" w:gutter="0"/>
      <w:cols w:num="2" w:space="1050" w:equalWidth="1"/>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jc w:val="center"/>
      <w:rPr>
        <w:rFonts w:hint="eastAsia"/>
      </w:rPr>
    </w:pPr>
    <w:r>
      <w:rPr>
        <w:rFonts w:hint="eastAsia"/>
      </w:rPr>
      <w:t xml:space="preserve">高二期中生物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5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jc w:val="both"/>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5596"/>
    <w:rsid w:val="000966E0"/>
    <w:rsid w:val="000C15F2"/>
    <w:rsid w:val="0014219D"/>
    <w:rsid w:val="0015283F"/>
    <w:rsid w:val="00173DC4"/>
    <w:rsid w:val="00182756"/>
    <w:rsid w:val="001A245F"/>
    <w:rsid w:val="001D0B6D"/>
    <w:rsid w:val="001D55A8"/>
    <w:rsid w:val="001D7C9C"/>
    <w:rsid w:val="001E1E16"/>
    <w:rsid w:val="002061D8"/>
    <w:rsid w:val="00213811"/>
    <w:rsid w:val="00214C48"/>
    <w:rsid w:val="002309E9"/>
    <w:rsid w:val="002355AB"/>
    <w:rsid w:val="00236D24"/>
    <w:rsid w:val="002D791F"/>
    <w:rsid w:val="002E78DC"/>
    <w:rsid w:val="003200FB"/>
    <w:rsid w:val="003263A5"/>
    <w:rsid w:val="00331476"/>
    <w:rsid w:val="00332185"/>
    <w:rsid w:val="00340B3A"/>
    <w:rsid w:val="003520CC"/>
    <w:rsid w:val="003658E9"/>
    <w:rsid w:val="00383324"/>
    <w:rsid w:val="0038754F"/>
    <w:rsid w:val="0039679F"/>
    <w:rsid w:val="003A2B2F"/>
    <w:rsid w:val="003A7775"/>
    <w:rsid w:val="003B7415"/>
    <w:rsid w:val="003E33A5"/>
    <w:rsid w:val="00404927"/>
    <w:rsid w:val="004050A2"/>
    <w:rsid w:val="00406439"/>
    <w:rsid w:val="00441DD9"/>
    <w:rsid w:val="00452429"/>
    <w:rsid w:val="004757D1"/>
    <w:rsid w:val="00491D7F"/>
    <w:rsid w:val="004973C9"/>
    <w:rsid w:val="004D4F4D"/>
    <w:rsid w:val="004F2506"/>
    <w:rsid w:val="0050153E"/>
    <w:rsid w:val="00502C78"/>
    <w:rsid w:val="00510D94"/>
    <w:rsid w:val="00511FEF"/>
    <w:rsid w:val="005327B1"/>
    <w:rsid w:val="00553F38"/>
    <w:rsid w:val="005721BD"/>
    <w:rsid w:val="005B20E2"/>
    <w:rsid w:val="005F3D5D"/>
    <w:rsid w:val="0061076C"/>
    <w:rsid w:val="00621F03"/>
    <w:rsid w:val="00646D54"/>
    <w:rsid w:val="006536B1"/>
    <w:rsid w:val="006726DE"/>
    <w:rsid w:val="00676407"/>
    <w:rsid w:val="006A549A"/>
    <w:rsid w:val="006F75B6"/>
    <w:rsid w:val="00721CD0"/>
    <w:rsid w:val="007434D7"/>
    <w:rsid w:val="007C0A4A"/>
    <w:rsid w:val="007D18D8"/>
    <w:rsid w:val="007D46F0"/>
    <w:rsid w:val="007D4DA6"/>
    <w:rsid w:val="00810236"/>
    <w:rsid w:val="00843E47"/>
    <w:rsid w:val="0085507B"/>
    <w:rsid w:val="00895596"/>
    <w:rsid w:val="00915124"/>
    <w:rsid w:val="00932AD9"/>
    <w:rsid w:val="00937C3A"/>
    <w:rsid w:val="00942325"/>
    <w:rsid w:val="009472EC"/>
    <w:rsid w:val="009550D5"/>
    <w:rsid w:val="00957AFF"/>
    <w:rsid w:val="009965C6"/>
    <w:rsid w:val="009A6E1C"/>
    <w:rsid w:val="009C014A"/>
    <w:rsid w:val="00A213F9"/>
    <w:rsid w:val="00A25A1A"/>
    <w:rsid w:val="00A2670B"/>
    <w:rsid w:val="00AA4F95"/>
    <w:rsid w:val="00AA6B86"/>
    <w:rsid w:val="00AB4350"/>
    <w:rsid w:val="00AC034F"/>
    <w:rsid w:val="00AD5E23"/>
    <w:rsid w:val="00AE760D"/>
    <w:rsid w:val="00AE7D94"/>
    <w:rsid w:val="00AF74CB"/>
    <w:rsid w:val="00B0685A"/>
    <w:rsid w:val="00B13DFF"/>
    <w:rsid w:val="00B15C7C"/>
    <w:rsid w:val="00B1708A"/>
    <w:rsid w:val="00B20C4E"/>
    <w:rsid w:val="00B31A40"/>
    <w:rsid w:val="00B52366"/>
    <w:rsid w:val="00B631DC"/>
    <w:rsid w:val="00B8187D"/>
    <w:rsid w:val="00BB0BF4"/>
    <w:rsid w:val="00BC30CF"/>
    <w:rsid w:val="00BD3770"/>
    <w:rsid w:val="00BE304F"/>
    <w:rsid w:val="00C16AC9"/>
    <w:rsid w:val="00C3262E"/>
    <w:rsid w:val="00C54FAE"/>
    <w:rsid w:val="00C70E8B"/>
    <w:rsid w:val="00C77F40"/>
    <w:rsid w:val="00C829E6"/>
    <w:rsid w:val="00C9396C"/>
    <w:rsid w:val="00CC53FE"/>
    <w:rsid w:val="00CD4399"/>
    <w:rsid w:val="00CE5CAA"/>
    <w:rsid w:val="00D17699"/>
    <w:rsid w:val="00D30044"/>
    <w:rsid w:val="00D62EED"/>
    <w:rsid w:val="00D64C6C"/>
    <w:rsid w:val="00D76AD8"/>
    <w:rsid w:val="00D944F2"/>
    <w:rsid w:val="00DB1775"/>
    <w:rsid w:val="00DC7404"/>
    <w:rsid w:val="00DF6EAE"/>
    <w:rsid w:val="00E45EFC"/>
    <w:rsid w:val="00E46527"/>
    <w:rsid w:val="00E96495"/>
    <w:rsid w:val="00EB30B8"/>
    <w:rsid w:val="00F10316"/>
    <w:rsid w:val="00F2275F"/>
    <w:rsid w:val="00F24929"/>
    <w:rsid w:val="00FA3B28"/>
    <w:rsid w:val="581E0664"/>
    <w:rsid w:val="588355D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character" w:customStyle="1" w:styleId="msgbodytext">
    <w:name w:val="msgbodytext"/>
    <w:basedOn w:val="DefaultParagraphFont"/>
  </w:style>
  <w:style w:type="character" w:customStyle="1" w:styleId="Char">
    <w:name w:val="正文文本 Char"/>
    <w:link w:val="BodyText"/>
    <w:rPr>
      <w:rFonts w:ascii="宋体" w:hAnsi="宋体"/>
      <w:kern w:val="2"/>
      <w:sz w:val="30"/>
      <w:szCs w:val="24"/>
    </w:rPr>
  </w:style>
  <w:style w:type="character" w:customStyle="1" w:styleId="Char0">
    <w:name w:val="标题 Char"/>
    <w:link w:val="Title"/>
    <w:rPr>
      <w:rFonts w:ascii="Cambria" w:eastAsia="宋体" w:hAnsi="Cambria"/>
      <w:b/>
      <w:bCs/>
      <w:kern w:val="2"/>
      <w:sz w:val="32"/>
      <w:szCs w:val="32"/>
      <w:lang w:val="en-US" w:eastAsia="zh-CN" w:bidi="ar-SA"/>
    </w:rPr>
  </w:style>
  <w:style w:type="character" w:customStyle="1" w:styleId="Char1">
    <w:name w:val="批注文字 Char"/>
    <w:link w:val="CommentText"/>
    <w:rPr>
      <w:rFonts w:ascii="Calibri" w:hAnsi="Calibri"/>
      <w:kern w:val="2"/>
      <w:sz w:val="21"/>
      <w:szCs w:val="24"/>
    </w:rPr>
  </w:style>
  <w:style w:type="character" w:customStyle="1" w:styleId="1Char">
    <w:name w:val="标题1 Char"/>
    <w:aliases w:val=" Char Char,Char Char Char Char,Char Char Char1,Char Char1,Plain Te Char,普通 Char,普通文字 Char Char,普通文字 Char1,标题1 Char Char Char,标题1 Char Char Char Char Char Char,游数的 Char,游数的格式 Char,纯文本 Char Char Char,纯文本 Char Char1 Char Char Char Char"/>
    <w:link w:val="PlainText"/>
    <w:rPr>
      <w:rFonts w:ascii="宋体" w:hAnsi="Courier New" w:cs="Courier New"/>
      <w:sz w:val="21"/>
      <w:szCs w:val="21"/>
    </w:rPr>
  </w:style>
  <w:style w:type="character" w:customStyle="1" w:styleId="Char5">
    <w:name w:val="普通(网站) Char"/>
    <w:aliases w:val="普通 (Web)1 Char,普通(Web) Char Char Char,普通(Web) Char Char Char Char Char,普通(Web) Char Char Char Char Char Char Char Char Char Char,普通(Web) Char Char Char Char Char Char Char Char Char1,普通(Web) Char Char1,普通(网站)1 Char"/>
    <w:link w:val="NormalWeb"/>
    <w:rPr>
      <w:rFonts w:ascii="宋体" w:eastAsia="宋体" w:hAnsi="宋体" w:cs="宋体"/>
      <w:sz w:val="24"/>
      <w:szCs w:val="24"/>
      <w:lang w:val="en-US" w:eastAsia="zh-CN" w:bidi="ar-SA"/>
    </w:rPr>
  </w:style>
  <w:style w:type="character" w:styleId="PageNumber">
    <w:name w:val="page number"/>
    <w:basedOn w:val="DefaultParagraphFont"/>
  </w:style>
  <w:style w:type="paragraph" w:styleId="Title">
    <w:name w:val="Title"/>
    <w:basedOn w:val="Normal"/>
    <w:next w:val="Normal"/>
    <w:link w:val="Char0"/>
    <w:qFormat/>
    <w:pPr>
      <w:spacing w:before="240" w:after="60"/>
      <w:jc w:val="center"/>
      <w:outlineLvl w:val="0"/>
    </w:pPr>
    <w:rPr>
      <w:rFonts w:ascii="Cambria" w:hAnsi="Cambria"/>
      <w:b/>
      <w:bCs/>
      <w:sz w:val="32"/>
      <w:szCs w:val="32"/>
    </w:rPr>
  </w:style>
  <w:style w:type="paragraph" w:styleId="NormalWeb">
    <w:name w:val="Normal (Web)"/>
    <w:basedOn w:val="Normal"/>
    <w:link w:val="Char5"/>
    <w:pPr>
      <w:widowControl/>
      <w:spacing w:before="100" w:beforeAutospacing="1" w:after="100" w:afterAutospacing="1"/>
      <w:jc w:val="left"/>
    </w:pPr>
    <w:rPr>
      <w:rFonts w:ascii="宋体" w:hAnsi="宋体" w:cs="宋体"/>
      <w:kern w:val="0"/>
      <w:sz w:val="24"/>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link w:val="Char"/>
    <w:rPr>
      <w:rFonts w:ascii="宋体" w:hAnsi="宋体"/>
      <w:sz w:val="30"/>
    </w:rPr>
  </w:style>
  <w:style w:type="paragraph" w:styleId="Footer">
    <w:name w:val="footer"/>
    <w:basedOn w:val="Normal"/>
    <w:pPr>
      <w:tabs>
        <w:tab w:val="center" w:pos="4153"/>
        <w:tab w:val="right" w:pos="8306"/>
      </w:tabs>
      <w:snapToGrid w:val="0"/>
      <w:jc w:val="left"/>
    </w:pPr>
    <w:rPr>
      <w:sz w:val="18"/>
      <w:szCs w:val="18"/>
    </w:rPr>
  </w:style>
  <w:style w:type="paragraph" w:styleId="BalloonText">
    <w:name w:val="Balloon Text"/>
    <w:basedOn w:val="Normal"/>
    <w:semiHidden/>
    <w:rPr>
      <w:sz w:val="18"/>
      <w:szCs w:val="18"/>
    </w:rPr>
  </w:style>
  <w:style w:type="paragraph" w:styleId="PlainText">
    <w:name w:val="Plain Text"/>
    <w:basedOn w:val="Normal"/>
    <w:link w:val="1Char"/>
    <w:pPr>
      <w:adjustRightInd w:val="0"/>
      <w:spacing w:line="312" w:lineRule="atLeast"/>
      <w:textAlignment w:val="baseline"/>
    </w:pPr>
    <w:rPr>
      <w:rFonts w:ascii="宋体" w:hAnsi="Courier New"/>
      <w:kern w:val="0"/>
      <w:szCs w:val="21"/>
    </w:rPr>
  </w:style>
  <w:style w:type="paragraph" w:customStyle="1" w:styleId="Normal0">
    <w:name w:val="Normal_0"/>
    <w:qFormat/>
    <w:pPr>
      <w:adjustRightInd w:val="0"/>
      <w:snapToGrid w:val="0"/>
      <w:spacing w:after="200"/>
    </w:pPr>
    <w:rPr>
      <w:rFonts w:ascii="Tahoma" w:eastAsia="微软雅黑" w:hAnsi="Tahoma" w:cs="Times New Roman"/>
      <w:sz w:val="22"/>
      <w:lang w:val="en-US" w:eastAsia="zh-CN" w:bidi="ar-SA"/>
    </w:rPr>
  </w:style>
  <w:style w:type="paragraph" w:customStyle="1" w:styleId="DefaultParagraph">
    <w:name w:val="DefaultParagraph"/>
    <w:rPr>
      <w:rFonts w:hAnsi="Calibri"/>
      <w:kern w:val="2"/>
      <w:sz w:val="21"/>
      <w:szCs w:val="22"/>
      <w:lang w:val="en-US" w:eastAsia="zh-CN" w:bidi="ar-SA"/>
    </w:rPr>
  </w:style>
  <w:style w:type="paragraph" w:customStyle="1" w:styleId="0">
    <w:name w:val="正文_0"/>
    <w:qFormat/>
    <w:pPr>
      <w:widowControl w:val="0"/>
      <w:jc w:val="both"/>
    </w:pPr>
    <w:rPr>
      <w:rFonts w:ascii="Calibri" w:hAnsi="Calibri"/>
      <w:kern w:val="2"/>
      <w:sz w:val="21"/>
      <w:lang w:val="en-US" w:eastAsia="zh-CN" w:bidi="ar-SA"/>
    </w:rPr>
  </w:style>
  <w:style w:type="paragraph" w:styleId="CommentText">
    <w:name w:val="annotation text"/>
    <w:basedOn w:val="0"/>
    <w:link w:val="Char1"/>
    <w:pPr>
      <w:jc w:val="left"/>
    </w:pPr>
    <w:rPr>
      <w:szCs w:val="24"/>
    </w:rPr>
  </w:style>
  <w:style w:type="paragraph" w:customStyle="1" w:styleId="CharCharChar1CharCharCharChar">
    <w:name w:val=" Char Char Char1 Char Char Char Char"/>
    <w:basedOn w:val="Normal"/>
    <w:pPr>
      <w:widowControl/>
      <w:spacing w:line="300" w:lineRule="auto"/>
      <w:ind w:firstLine="200" w:firstLineChars="200"/>
    </w:pPr>
    <w:rPr>
      <w:rFonts w:ascii="Verdana" w:hAnsi="Verdana"/>
      <w:kern w:val="0"/>
      <w:szCs w:val="20"/>
      <w:lang w:eastAsia="en-U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jpe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header" Target="header1.xml" /><Relationship Id="rId39" Type="http://schemas.openxmlformats.org/officeDocument/2006/relationships/footer" Target="footer1.xml" /><Relationship Id="rId4" Type="http://schemas.openxmlformats.org/officeDocument/2006/relationships/image" Target="media/image1.png"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Template>
  <TotalTime>0</TotalTime>
  <Pages>9</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江陵县2008年高考生物复习计划</dc:title>
  <dc:creator>pc</dc:creator>
  <cp:lastModifiedBy>DELL</cp:lastModifiedBy>
  <cp:revision>56</cp:revision>
  <cp:lastPrinted>2019-11-06T14:22:00Z</cp:lastPrinted>
  <dcterms:created xsi:type="dcterms:W3CDTF">2007-07-14T01:39:00Z</dcterms:created>
  <dcterms:modified xsi:type="dcterms:W3CDTF">2020-12-10T11:16:27Z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