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11277600</wp:posOffset>
            </wp:positionH>
            <wp:positionV relativeFrom="topMargin">
              <wp:posOffset>11150600</wp:posOffset>
            </wp:positionV>
            <wp:extent cx="355600" cy="342900"/>
            <wp:effectExtent l="0" t="0" r="635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  <w:t>莆田一中2019-2020学年度下学期期末考试试卷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24"/>
          <w:szCs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olor w:val="auto"/>
          <w:sz w:val="24"/>
          <w:szCs w:val="24"/>
          <w:shd w:val="clear" w:color="auto" w:fill="FFFFFF"/>
          <w:lang w:val="en-US" w:eastAsia="zh-CN"/>
        </w:rPr>
        <w:t>高二 地图、世界地理、中国地理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24"/>
          <w:szCs w:val="24"/>
          <w:shd w:val="clear" w:color="auto" w:fill="FFFFFF"/>
          <w:lang w:val="en-US" w:eastAsia="zh-CN"/>
        </w:rPr>
      </w:pPr>
      <w:bookmarkStart w:id="11" w:name="_GoBack"/>
      <w:bookmarkEnd w:id="1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auto"/>
          <w:sz w:val="21"/>
          <w:szCs w:val="21"/>
          <w:shd w:val="clear" w:color="auto" w:fill="FFFFFF"/>
          <w:lang w:val="en-US" w:eastAsia="zh-CN"/>
        </w:rPr>
        <w:t>注意事项：</w:t>
      </w:r>
      <w:r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  <w:t>考生在答题前请认真阅读本注意事项及各题答题要求。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</w:pPr>
      <w:r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  <w:t>1．</w:t>
      </w:r>
      <w:r>
        <w:rPr>
          <w:rFonts w:hint="eastAsia" w:ascii="楷体_GB2312" w:eastAsia="楷体_GB2312"/>
          <w:bCs/>
          <w:i w:val="0"/>
          <w:iCs w:val="0"/>
          <w:color w:val="auto"/>
          <w:szCs w:val="21"/>
        </w:rPr>
        <w:t>本试卷共二卷，</w:t>
      </w:r>
      <w:r>
        <w:rPr>
          <w:rFonts w:hint="eastAsia" w:ascii="楷体_GB2312" w:eastAsia="楷体_GB2312"/>
          <w:bCs/>
          <w:i w:val="0"/>
          <w:iCs w:val="0"/>
          <w:color w:val="auto"/>
          <w:szCs w:val="21"/>
          <w:lang w:val="en-US" w:eastAsia="zh-CN"/>
        </w:rPr>
        <w:t>10</w:t>
      </w:r>
      <w:r>
        <w:rPr>
          <w:rFonts w:hint="eastAsia" w:ascii="楷体_GB2312" w:eastAsia="楷体_GB2312"/>
          <w:bCs/>
          <w:i w:val="0"/>
          <w:iCs w:val="0"/>
          <w:color w:val="auto"/>
          <w:szCs w:val="21"/>
        </w:rPr>
        <w:t>页。</w:t>
      </w:r>
      <w:r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  <w:t>本次考试时间为90分钟，满分100分。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</w:pPr>
      <w:r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  <w:t>2．答题前，请您务必将自己的姓名、班级、准考证号用0.5mm黑色签字笔填写在答题卡上。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</w:pPr>
      <w:r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  <w:t>3．作答第I卷时必须用2B铅笔将答题卡上对应题目的答案标号涂黑。如需改动，请用橡皮擦干净后，再选涂其它答案。作答第II卷时，请用0.5mm黑色签字笔将答案写在答题卡上的指定位置，否则你就不用考虑本卷我们会不会给你分数或给你多少分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</w:pPr>
      <w:r>
        <w:rPr>
          <w:rFonts w:hint="eastAsia" w:ascii="楷体_GB2312" w:hAnsi="Times New Roman" w:eastAsia="楷体_GB2312" w:cs="Times New Roman"/>
          <w:bCs/>
          <w:i w:val="0"/>
          <w:iCs w:val="0"/>
          <w:color w:val="auto"/>
          <w:szCs w:val="21"/>
          <w:lang w:val="en-US" w:eastAsia="zh-CN"/>
        </w:rPr>
        <w:t>4．祝考试顺利！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jc w:val="center"/>
        <w:rPr>
          <w:rFonts w:hint="default" w:ascii="楷体_GB2312" w:hAnsi="Times New Roman" w:eastAsia="楷体_GB2312" w:cs="Times New Roman"/>
          <w:bCs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  <w:t>第</w:t>
      </w:r>
      <w:r>
        <w:rPr>
          <w:rFonts w:hint="eastAsia" w:ascii="黑体" w:hAnsi="宋体" w:eastAsia="黑体"/>
          <w:b/>
          <w:bCs/>
          <w:i w:val="0"/>
          <w:iCs w:val="0"/>
          <w:color w:val="auto"/>
          <w:sz w:val="24"/>
          <w:szCs w:val="24"/>
          <w:lang w:val="en-US" w:eastAsia="zh-CN"/>
        </w:rPr>
        <w:t>I</w:t>
      </w: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  <w:t xml:space="preserve">卷  </w:t>
      </w:r>
      <w:r>
        <w:rPr>
          <w:rFonts w:hint="eastAsia" w:ascii="黑体" w:hAnsi="宋体" w:eastAsia="黑体"/>
          <w:b/>
          <w:i w:val="0"/>
          <w:iCs w:val="0"/>
          <w:color w:val="auto"/>
          <w:sz w:val="24"/>
          <w:szCs w:val="24"/>
        </w:rPr>
        <w:t>选择题</w:t>
      </w: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  <w:t>（共</w:t>
      </w: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  <w:lang w:val="en-US" w:eastAsia="zh-CN"/>
        </w:rPr>
        <w:t>51</w:t>
      </w: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  <w:t>分）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240" w:firstLineChars="100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  <w:bookmarkStart w:id="0" w:name="topic 4d21f4b3-9726-46da-a167-d4b0cc6cab"/>
      <w:r>
        <w:rPr>
          <w:rFonts w:hint="eastAsia"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1166495</wp:posOffset>
            </wp:positionV>
            <wp:extent cx="3209290" cy="2101850"/>
            <wp:effectExtent l="0" t="0" r="10160" b="1270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>治沟造地是陕西省延安市对黄土高原的丘陵沟壑区，在传统打坝淤地的基础上，集耕地营造、坝系修复、生态建设和新农村发展为一体的“田水路林村”综合整治模式，实现了乡村生产、生活、生态协调发展（如图）。据此完成1～3题。</w:t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textWrapping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240" w:firstLineChars="100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240" w:firstLineChars="100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240" w:firstLineChars="100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kern w:val="0"/>
          <w:sz w:val="24"/>
          <w:szCs w:val="24"/>
        </w:rPr>
        <w:t>与传统的打坝淤地工程相比，治沟造地更加关注（　　）</w:t>
      </w:r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480" w:firstLineChars="200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A. </w:t>
      </w:r>
      <w:r>
        <w:rPr>
          <w:rFonts w:hint="eastAsia" w:ascii="宋体" w:hAnsi="宋体" w:eastAsia="宋体" w:cs="宋体"/>
          <w:kern w:val="0"/>
          <w:sz w:val="24"/>
          <w:szCs w:val="24"/>
        </w:rPr>
        <w:t>增加耕地面积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>B. 防治水土流失</w:t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480" w:firstLineChars="200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C. 改善人居环境</w:t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kern w:val="0"/>
          <w:sz w:val="24"/>
          <w:szCs w:val="24"/>
        </w:rPr>
        <w:t>D. 提高作物产量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kern w:val="0"/>
          <w:sz w:val="24"/>
          <w:szCs w:val="24"/>
        </w:rPr>
        <w:t>治沟造地对当地生产条件的改善主要体现在（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Chars="0" w:firstLine="480" w:firstLineChars="200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A. 优化农业结构</w:t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</w:rPr>
        <w:t>B. 方便田间耕作</w:t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Chars="0" w:firstLine="480" w:firstLineChars="200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C. 健全公共服务</w:t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</w:rPr>
        <w:t>D. 提高耕地肥力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kern w:val="0"/>
          <w:sz w:val="24"/>
          <w:szCs w:val="24"/>
        </w:rPr>
        <w:t>推测开展治沟造地的地方（　　）</w:t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</w:rPr>
        <w:t>①居住用地紧张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kern w:val="0"/>
          <w:sz w:val="24"/>
          <w:szCs w:val="24"/>
        </w:rPr>
        <w:t>②生态环境脆弱</w:t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</w:rPr>
        <w:t>③坡耕地比例大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kern w:val="0"/>
          <w:sz w:val="24"/>
          <w:szCs w:val="24"/>
        </w:rPr>
        <w:t>④农业生产精耕细作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Chars="0" w:firstLine="480" w:firstLineChars="200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A. ①③</w:t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>B. ①④</w:t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>C. ②③</w:t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>D. ②④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下图所示地区有地域特色鲜明的传统民居“蜂巢屋”，一般由3至4个相连的土塔状建筑构成，是当地人利用茅草和泥土筑造而成。这样的民居，既克服了当地物资缺乏，又适应了当地气候特点，是一种古老而优越的生态民居。据此完成下面小题。 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5080</wp:posOffset>
            </wp:positionV>
            <wp:extent cx="4424045" cy="1990090"/>
            <wp:effectExtent l="0" t="0" r="14605" b="10160"/>
            <wp:wrapTopAndBottom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蜂巢屋是一种古老而优越的生态民居，反映当地的自然环境(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)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沙漠广布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森林覆盖率低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C. 全年气候干旱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河湖众多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</w:rPr>
        <w:t>蜂巢屋“圆形墙体厚达80厘米”的主要目的是(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)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隔热，降低夏季室内温度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御寒，抵御冬季严寒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C. 防潮，保持夏季屋内干燥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防风，抵御风力侵蚀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sz w:val="24"/>
          <w:szCs w:val="24"/>
        </w:rPr>
        <w:t>“蜂巢屋”的土塔每半年需维修一次，最可能的原因是(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)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为了保持土塔的新貌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维修以增加当地收入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C. 因雨水冲蚀部分墙体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当地的传统习俗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7.</w:t>
      </w:r>
      <w:r>
        <w:rPr>
          <w:rFonts w:hint="eastAsia" w:ascii="宋体" w:hAnsi="宋体" w:eastAsia="宋体" w:cs="宋体"/>
          <w:sz w:val="24"/>
          <w:szCs w:val="24"/>
        </w:rPr>
        <w:t>蜂巢屋作为一道独特的风景线吸引了很多游客，从气候角度分析，最适宜的游览时间(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)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11～12月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7～8月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C. 4～5月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1～2月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hint="eastAsia" w:ascii="宋体" w:hAnsi="宋体" w:eastAsia="宋体" w:cs="宋体"/>
          <w:sz w:val="24"/>
          <w:szCs w:val="24"/>
        </w:rPr>
      </w:pPr>
      <w:bookmarkStart w:id="1" w:name="topic 5e360ae6-e6b0-40c2-b3f6-7431aef6e8"/>
      <w:r>
        <w:rPr>
          <w:rFonts w:hint="eastAsia" w:ascii="宋体" w:hAnsi="宋体" w:eastAsia="宋体" w:cs="宋体"/>
          <w:sz w:val="24"/>
          <w:szCs w:val="24"/>
        </w:rPr>
        <w:t xml:space="preserve">我国的祁连山地长有“阴阳脸”(如图)，即一侧山坡林木葱郁(“阴脸”)，另一侧山坡草地青翠(“阳脸”)。读图并结合所学知识完成下列各题。 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bookmarkEnd w:id="1"/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648075" cy="231457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8.</w:t>
      </w:r>
      <w:r>
        <w:rPr>
          <w:rFonts w:hint="eastAsia" w:ascii="宋体" w:hAnsi="宋体" w:eastAsia="宋体" w:cs="宋体"/>
          <w:sz w:val="24"/>
          <w:szCs w:val="24"/>
        </w:rPr>
        <w:t>造成山地“阴阳脸”的主要原因是(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)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“阳脸”为夏季风的迎风坡，降水较丰富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B. “阴脸”为阳坡，光照强，热量充沛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C. “阳脸”为陡坡，土层薄，土壤肥力低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D. “阴脸”为阴坡，光照少，蒸发较弱，水分条件较好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9.</w:t>
      </w:r>
      <w:r>
        <w:rPr>
          <w:rFonts w:hint="eastAsia" w:ascii="宋体" w:hAnsi="宋体" w:eastAsia="宋体" w:cs="宋体"/>
          <w:sz w:val="24"/>
          <w:szCs w:val="24"/>
        </w:rPr>
        <w:t>该山地牧场牛羊成群的季节里(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)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A. 龙井的茶农采茶正忙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洛杉矶火险等级最高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C. 瑞典的极光绚丽多彩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钱塘江正处在枯水期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2015年1月14日，法国驻华使馆宣布留尼汪和法属波利尼西亚对中国游客实行免签。塔希提岛形状从空中鸟瞰似尾鱼，是法属波利尼西亚群岛中的最大岛屿，和留尼汪岛一样，均主要由岩浆岩组成，旅游旺季均为每年5～10月，下图为两岛屿位置图，据此完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10-11</w:t>
      </w:r>
      <w:r>
        <w:rPr>
          <w:rFonts w:hint="eastAsia" w:ascii="宋体" w:hAnsi="宋体" w:eastAsia="宋体" w:cs="宋体"/>
          <w:sz w:val="24"/>
          <w:szCs w:val="24"/>
        </w:rPr>
        <w:t xml:space="preserve">题。 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80010</wp:posOffset>
            </wp:positionV>
            <wp:extent cx="5572760" cy="1943735"/>
            <wp:effectExtent l="0" t="0" r="8890" b="18415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10.</w:t>
      </w:r>
      <w:r>
        <w:rPr>
          <w:rFonts w:hint="eastAsia" w:ascii="宋体" w:hAnsi="宋体" w:eastAsia="宋体" w:cs="宋体"/>
          <w:sz w:val="24"/>
          <w:szCs w:val="24"/>
        </w:rPr>
        <w:t>关于两岛屿说法正确的是（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 xml:space="preserve">） 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①降水均南多北少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②5～10月相对其他月份更凉爽少雨，有利于旅游③河流均短促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④两岛屿最高峰可能均是火山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⑤留尼汪岛位于塔希提岛东南方</w:t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②③④⑤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B. ①②③④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C. ①②③⑤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D. ①③④⑤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11.关于塔希提岛上河流水系特征说法正确的是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 xml:space="preserve">）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  <w:lang w:val="en-US" w:eastAsia="zh-CN"/>
        </w:rPr>
        <w:t xml:space="preserve">A.形成向心状水系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  <w:lang w:val="en-US" w:eastAsia="zh-CN"/>
        </w:rPr>
        <w:t xml:space="preserve">B.河流流域面积小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  <w:lang w:val="en-US" w:eastAsia="zh-CN"/>
        </w:rPr>
        <w:t xml:space="preserve">C.受山地束缚，多U型河谷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  <w:lang w:val="en-US" w:eastAsia="zh-CN"/>
        </w:rPr>
        <w:t>D.河流汛期主要集中在12月至次年3月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" w:name="topic 9b08d74f-b747-43bf-b17b-f66f9eb2f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青海省共和县的塔拉滩原是一处荒漠化草场，现已建成我国面积最大的生态光伏产业园，园内光伏板都采用了高架方式，如图所示。据此完成下列题。 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117475</wp:posOffset>
            </wp:positionV>
            <wp:extent cx="2274570" cy="1978025"/>
            <wp:effectExtent l="0" t="0" r="11430" b="3175"/>
            <wp:wrapTopAndBottom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63261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130175</wp:posOffset>
            </wp:positionV>
            <wp:extent cx="2656840" cy="2065655"/>
            <wp:effectExtent l="0" t="0" r="10160" b="1079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12.近年来，该区域内反季节蔬菜发展迅速，其突出优势是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 xml:space="preserve">） 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土地价格低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B. 昼夜温差大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C. 夏季气候凉爽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日照时间长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13.在塔拉滩生态光伏产业园内，光伏板多架在髙出地面1.5米的桩基上，其主要原因是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 xml:space="preserve">） 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A. 利于植被恢复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利于通风、防潮、防锈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C. 减少风沙危害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利于畜群的往返通行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14.为提高光伏发电效率，需要不定期清洗光伏板，清洗光伏板频率最髙的季节及原因是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 xml:space="preserve">） 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2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春季    风沙天气多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夏季    雨雾多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秋季    枯草落叶多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冬季    阴天多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3" w:name="topic 26fbe1e4-01f4-4053-99e9-a8de91dc2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1176655</wp:posOffset>
            </wp:positionV>
            <wp:extent cx="3505200" cy="2495550"/>
            <wp:effectExtent l="0" t="0" r="0" b="3810"/>
            <wp:wrapTopAndBottom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某河流位于浙江东部，下游河床受径流与潮汐共同影响：枯水期，以潮流带来的泥沙淤积为主；汛期，上游下泄的径流冲刷河床。如图示意该河下游某地1962年两个时期河床断面形态，其中，甲是河床最低时期的河床断面。1964年在该河上游建成水库；2000年，在该河河口建成大型水闸。据此完成下列各题。 </w:t>
      </w:r>
      <w:bookmarkEnd w:id="3"/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15.河床断面形态从甲至乙的变化过程发生在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 xml:space="preserve">） 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1-3月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3-6月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6-9月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9-12月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16.水库竣工后，水库下游河流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径流量增大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河道淤积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流速加快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河床展宽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17.在该河河口修建大型水闸的主要作用是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 xml:space="preserve">） 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切断潮流泥沙补给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加速汛期洪水下泄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提高潮流冲淤能力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拦截河流入海泥沙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4" w:name="topic 58153929-b797-477f-ad07-31caf50587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图所示，乌拉尔山脉绵延于西西伯利亚平原与东欧平原之间。西西伯利亚平原的大部分比东欧平原降水少。乌拉尔山脉两侧自北向南都依次分布着苔原、森林、森林草原和草原等自然带，但在同一自然带内乌拉尔山脉两侧的景观、物种组成等存在差异。据此完成18～19题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-352425</wp:posOffset>
            </wp:positionV>
            <wp:extent cx="2569210" cy="2542540"/>
            <wp:effectExtent l="0" t="0" r="2540" b="10160"/>
            <wp:wrapSquare wrapText="bothSides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18.西西伯利亚平原的大部分比东欧平原降水少，是由于其（　　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①距水汽源地远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②受北冰洋沿岸洋流影响小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③地势南高北低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④水汽受乌拉尔山脉的阻挡</w:t>
      </w:r>
      <w:bookmarkEnd w:id="4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A. ①②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B. ②③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③④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①④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19.西西伯利亚平原年降水量南北差异较小，但南部较干，主要原因是南部（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沼泽分布少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B. 太阳辐射强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河流向北流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D. 远离北冰洋</w:t>
      </w:r>
    </w:p>
    <w:p>
      <w:pPr>
        <w:keepNext w:val="0"/>
        <w:keepLines w:val="0"/>
        <w:pageBreakBefore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Chars="0" w:firstLine="480" w:firstLine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5" w:name="topic f4e3decc-ceeb-4bea-8d16-028f22cbe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吉林省西北部的洮南市是中国重要的辣椒集散地，被称为“辣椒之城”，韩国进口辣椒八成来自于洮南。洮南市夏季“十年九旱”，干旱反而成为洮南辣椒得天独厚的气候条件。洮南2000年才从韩国引进韩国人偏爱的金塔辣椒品种，如今已经成为韩国辣椒进口的主要地区。据此回答下列题。</w:t>
      </w:r>
      <w:bookmarkEnd w:id="5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20.推测金塔辣椒的生长习性（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Chars="0" w:firstLine="480" w:firstLine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喜热耐旱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喜湿喜凉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喜光耐旱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喜湿喜热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21.相对于韩国，吉林洮南辣椒产业的优势条件（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专业化水平高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科技水平高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劳动生产效率高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劳动力廉价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6" w:name="topic e1138e97-4fd3-4c14-9730-93fcfb2cdf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卑诗省位于加拿大西南部，省内有山林、河湖、冰雪、岛屿、古城等，是加拿大传统影视拍摄制作业基地。这里聚集了600多家数字媒体包括美国Netflix和Amazon Prime在线流媒体等企业、240万高素质多元化的人才。在卑诗省进行影视制作，可享受28%的人工成本税务抵免政策。2018年卑诗省的影视制作行业超过安大略省，成为加拿大影视制作行业第一省。读加拿大卑诗省轮廓示意图，完成下列各题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b/>
          <w:bCs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323850</wp:posOffset>
            </wp:positionV>
            <wp:extent cx="2481580" cy="2106930"/>
            <wp:effectExtent l="0" t="0" r="13970" b="7620"/>
            <wp:wrapSquare wrapText="bothSides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bookmarkEnd w:id="6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22.卑诗省发展传统影视拍摄制作业的自然优势是（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优越的地理位置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B. 优美的自然风光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悠久的历史底蕴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D. 晴朗天气多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23.推测2018年在影视制作行业卑诗省超过安大略省的原因可能是（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航空业务量的扩大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B. 电力传送速度加快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流媒体服务的兴起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D. 电影院数量的增多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读美洲部分地区图和A地景观图，回答问题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13335</wp:posOffset>
            </wp:positionV>
            <wp:extent cx="4733925" cy="2838450"/>
            <wp:effectExtent l="0" t="0" r="5715" b="11430"/>
            <wp:wrapSquare wrapText="bothSides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24.图中A地居民利用此设施收集的水资源是（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积雪融水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雾气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冰川融水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雨水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25.有关图7中所示区域的说法正确的是（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图中山脉走向大体为西北——东南走向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图中寒流的形成与东北信风有关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乙山脉是南极洲板块与美洲板块相碰撞抬升形成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A附近海域为浅海大陆架，故渔业资源丰富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26.若一艘轮船从A处沿海岸线向南航行 3000km，船员将依次观赏的是（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热带荒漠.亚热带常绿硬叶林.温带落叶阔叶林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热带荒漠.热带草原.亚热带常绿硬叶林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热带季雨林.亚热带常绿阔叶林.温带落叶阔叶林​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热带草原.亚热带常绿硬叶林.温带落叶阔叶林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575945</wp:posOffset>
            </wp:positionV>
            <wp:extent cx="3175000" cy="1744980"/>
            <wp:effectExtent l="0" t="0" r="6350" b="7620"/>
            <wp:wrapTopAndBottom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西气东输”二线工程是我国第一条引进境外天然气资源的大型管道工程。读图，完成下列问题。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27.有关该工程建设的说法，正确的是（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该管道工程建设，对沿线地区的生态环境不会产生影响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可以缓解珠三角地区能源短缺，并优化能源消费结构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诱发东南地区暴雨、洪涝等气象灾害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管道敷设成本过高，应该转为铁路运输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28.管道干线沿线自西北向东南依次经过我国的（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干旱、半干旱、半湿润、湿润区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青藏高原、黄土高原、江南丘陵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温带、亚热带、热带气候区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绿洲农业、水田农业、旱作农业区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240" w:firstLineChars="1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7" w:name="topic fc232cab-dd18-4cee-9410-f27fc9a8a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1217295</wp:posOffset>
            </wp:positionV>
            <wp:extent cx="2498090" cy="1893570"/>
            <wp:effectExtent l="0" t="0" r="16510" b="1143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巢湖平原某地人多地少，原来种植双季稻，越冬作物以油菜为主。近年来随着城镇化的发展、机械化的普及和青壮年劳动力外出务工，这里多种植单季稻，收割后多不经翻耕播种收益较低的越冬作物小麦。如图为该地收割水稻后播种了小麦的农田景观，其中浅色的为稻茬。据此完成29-31题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29.在收割水稻后的农田中播种小麦，需在田地中打沟（如图）。打沟主要是为了（　　）</w:t>
      </w:r>
      <w:bookmarkEnd w:id="7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A. 灌溉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排水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C. 防虫害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通风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30.推测这里不经翻耕播种小麦的主要目的是（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提高产量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减少水土流失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降低生产成本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减少蒸发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31.近年来，该地（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种植结构复杂化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B. 复种指数提高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田间管理精细化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D. 种田大户增多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8" w:name="topic f914e274-eb0d-46ac-87e0-6a32a8595e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344170</wp:posOffset>
            </wp:positionV>
            <wp:extent cx="3800475" cy="1409700"/>
            <wp:effectExtent l="0" t="0" r="9525" b="7620"/>
            <wp:wrapTopAndBottom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如图为我国四个城市的主要工业部门结构图。读图回答下列问题。 </w:t>
      </w:r>
      <w:bookmarkEnd w:id="8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32.图中四个城市分别可能为（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①上海　②广州　③鞍山　④武汉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①鞍山　②广州　③上海　④香港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①包头　②香港　③广州　④北京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①鞍山　②上海　③广州　④香港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33.影响①、③两城市钢铁工业布局的共同的主导因素是（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靠近原料地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 靠近燃料地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靠近消费市场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D. 水源充足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34.下列加快①城市所在工业区经济发展的措施，不正确的是（　　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79" w:leftChars="228" w:firstLine="0" w:firstLineChars="0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 发展新兴工业，促进结构调整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B. 治理环境污染，改善环境质量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C. 拓展交通网，改善交通条件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D. 发展棉纺、甘蔗制糖等工业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center"/>
        <w:textAlignment w:val="auto"/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center"/>
        <w:textAlignment w:val="auto"/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center"/>
        <w:textAlignment w:val="auto"/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center"/>
        <w:textAlignment w:val="auto"/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center"/>
        <w:textAlignment w:val="auto"/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</w:pP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  <w:t>第</w:t>
      </w: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  <w:lang w:val="en-US" w:eastAsia="zh-CN"/>
        </w:rPr>
        <w:t>I</w:t>
      </w:r>
      <w:r>
        <w:rPr>
          <w:rFonts w:hint="eastAsia" w:ascii="黑体" w:hAnsi="宋体" w:eastAsia="黑体"/>
          <w:b/>
          <w:bCs/>
          <w:i w:val="0"/>
          <w:iCs w:val="0"/>
          <w:color w:val="auto"/>
          <w:sz w:val="24"/>
          <w:szCs w:val="24"/>
          <w:lang w:val="en-US" w:eastAsia="zh-CN"/>
        </w:rPr>
        <w:t>I</w:t>
      </w: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  <w:t xml:space="preserve">卷  </w:t>
      </w: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  <w:lang w:val="en-US" w:eastAsia="zh-CN"/>
        </w:rPr>
        <w:t>综合</w:t>
      </w:r>
      <w:r>
        <w:rPr>
          <w:rFonts w:hint="eastAsia" w:ascii="黑体" w:hAnsi="宋体" w:eastAsia="黑体"/>
          <w:b/>
          <w:i w:val="0"/>
          <w:iCs w:val="0"/>
          <w:color w:val="auto"/>
          <w:sz w:val="24"/>
          <w:szCs w:val="24"/>
        </w:rPr>
        <w:t>题</w:t>
      </w: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  <w:t>（共</w:t>
      </w: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  <w:lang w:val="en-US" w:eastAsia="zh-CN"/>
        </w:rPr>
        <w:t>49</w:t>
      </w:r>
      <w:r>
        <w:rPr>
          <w:rFonts w:hint="eastAsia" w:ascii="黑体" w:eastAsia="黑体"/>
          <w:b/>
          <w:bCs/>
          <w:i w:val="0"/>
          <w:iCs w:val="0"/>
          <w:color w:val="auto"/>
          <w:sz w:val="24"/>
          <w:szCs w:val="24"/>
        </w:rPr>
        <w:t>分）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9" w:name="topic 1b0bc8bb-32a3-4238-af71-45ecd7647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阅读图文材料，完成下列要求。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伊比利亚火腿因其天然风味和上乘品质成为西班牙美食的代表，是用伊比利亚黑蹄猪制成。伊比利亚黑蹄猪繁殖能力差，生长周期长，从断奶后就散养在西班牙南部山区的橡果牧场中，吃橡果、喝山泉水，为保证火腿风味，每头猪要至少拥有半公顷橡树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0" w:leftChars="0" w:firstLine="480" w:firstLine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1428115</wp:posOffset>
            </wp:positionV>
            <wp:extent cx="5695950" cy="2466340"/>
            <wp:effectExtent l="0" t="0" r="0" b="1016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西班牙的火腿厂大部分位于偏远乡村地区。顶级的伊比利亚火腿从饲养、加工到售卖的4-5年时间里都有严格监管。火腿加工需要在适宜温度、湿度条件下微生物的参与。与现代在恒温、恒湿地下冷库中进行生产不同，400多年来伊比利亚火腿的加工一直采用传统制法--手工腌制和自然窖藏，以保证独特的风味。下面两图分别为西班牙位置图和伊比利亚火腿传统生产流程图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  <w:r>
        <w:rPr>
          <w:rFonts w:hint="eastAsia" w:ascii="Times New Roman" w:hAnsi="Times New Roman" w:eastAsia="宋体" w:cs="Times New Roman"/>
          <w:strike w:val="0"/>
          <w:kern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（1）说明伊比利亚黑蹄猪产量小的原因。(6分）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-420" w:leftChars="-200" w:firstLine="480" w:firstLine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-420" w:leftChars="-200" w:firstLine="480" w:firstLine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-420" w:leftChars="-200" w:firstLine="480" w:firstLine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说明西班牙南部山区有利于火腿加工的气候条件。(6分）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leftChars="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-420" w:leftChars="-200" w:firstLine="480" w:firstLine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分析西班牙火腿工厂大都位于偏远乡村的原因。(6分）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（4）请你为当地传承和保护伊比利亚火腿品牌提出可行性措施。</w:t>
      </w:r>
      <w:bookmarkEnd w:id="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(4分）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0" w:name="topic 027a9f6e-530f-45bf-a00f-f59ccf07f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36.结合下列材料和已学知识，回答下列问题。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1069975</wp:posOffset>
            </wp:positionV>
            <wp:extent cx="3750310" cy="2778760"/>
            <wp:effectExtent l="0" t="0" r="2540" b="254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长江从青海玉树到四川宜宾之间被称作金沙江。金沙江景观壮丽多彩，每年都会引来大量游客。游客在金沙江干流南部河谷拍下图中的照片，河谷两岸植被较为稀疏，多枯黄色，这样的河谷在地理学中称为“干热河谷”。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(1)简述金沙江流域的地势特征。 (4分）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(2)分析图中“干热河谷”植被稀疏、枯黄的原因。 (4分）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(3)金沙江以河水含沙多著称，而今越往流域下游河水越清澈，请分别说明原因。</w:t>
      </w:r>
      <w:bookmarkEnd w:id="1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(10分）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37.阅读图文材料回答问题。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在21世纪海洋经济、网络经济的背景下，打造具有特色的现代产业体系，对沿海区域经济发展意义重大。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146685</wp:posOffset>
            </wp:positionV>
            <wp:extent cx="4448810" cy="3223260"/>
            <wp:effectExtent l="0" t="0" r="8890" b="15240"/>
            <wp:wrapSquare wrapText="bothSides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（1）说出B港地理位置的主要特点。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3分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-420" w:leftChars="-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(2)简述该省发展海洋经济有利的自然条件。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6分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left="480" w:hanging="480" w:hanging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olor w:val="auto"/>
          <w:sz w:val="32"/>
          <w:szCs w:val="32"/>
          <w:shd w:val="clear" w:color="auto" w:fill="FFFFFF"/>
          <w:lang w:val="en-US" w:eastAsia="zh-CN"/>
        </w:rPr>
        <w:t>莆田一中2019-2020学年度下学期期末考试试卷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24"/>
          <w:szCs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="黑体" w:hAnsi="黑体" w:eastAsia="黑体" w:cs="黑体"/>
          <w:i w:val="0"/>
          <w:iCs w:val="0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olor w:val="auto"/>
          <w:sz w:val="24"/>
          <w:szCs w:val="24"/>
          <w:shd w:val="clear" w:color="auto" w:fill="FFFFFF"/>
          <w:lang w:val="en-US" w:eastAsia="zh-CN"/>
        </w:rPr>
        <w:t>高二 地图、世界地理、中国地理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default" w:ascii="黑体" w:hAnsi="黑体" w:eastAsia="黑体" w:cs="黑体"/>
          <w:i w:val="0"/>
          <w:iCs w:val="0"/>
          <w:color w:val="auto"/>
          <w:sz w:val="24"/>
          <w:szCs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auto"/>
        <w:rPr>
          <w:rFonts w:hint="default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1-34.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default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CBCBA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CCDBB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BCAAD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BADBC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DBCBC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ABABC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DBCD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35.（22分）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 xml:space="preserve">（1）伊比利亚黑蹄猪的繁殖能力差;生长周期长；橡树分布面积较小，伊比利亚黑蹄猪生存空间有限。 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分）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 xml:space="preserve">（2）冬季气温较低，有利于火腿腌制；夏季气温高，有利于火腿的风干与熟成；距海近，空气湿度整体较大，有利于火腿加工。 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分）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 xml:space="preserve">（3）靠近原料产地（伊比利亚黑蹄猪产区）；土地充足，为火腿的制作和存放提供场所；偏远乡村地区劳动力廉价；工业较少，环境质量好，有利于生产优质火腿等。 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分）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（4）加强伊比利亚火腿品牌宣传，提高知名度；建立传统火腿制作技艺的生产性保护示范基地，加大火腿传统技艺保护力度；选拔和培养技术传承人，保证传统火腿制作技术的延续；加强对火腿原料和生产过程的监控，保证火腿品质。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20" w:firstLineChars="0"/>
        <w:textAlignment w:val="auto"/>
        <w:rPr>
          <w:rFonts w:hint="default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36.（18分）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/>
        <w:textAlignment w:val="center"/>
        <w:rPr>
          <w:rFonts w:hint="default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 xml:space="preserve">(1)西北高、东南低；山高谷深，地势起伏大。 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分）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(2)该地区受山脉阻挡，山高谷深，高大山地对来自西南方向的暖湿气流阻挡作用强，金沙江干流处于背风地带，降水少，且干燥的下沉气流增温效应强（焚风效应强），形成干热河谷，因此植被稀疏，颜色枯黄。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分）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(3)金沙江流域地势起伏大（山高坡陡）；断裂发育，岩层破碎；雨季降水集中，多暴雨，易发生滑坡、泥石流；加上人类活动对地表环境的破坏，水土流失严重；水库建成后，河流流速减慢，大量泥沙在库区堆积，下游泥沙减少。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分）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/>
        <w:textAlignment w:val="center"/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 xml:space="preserve">37.（1）位于30°N附近；该省东北部沿海；居该省海洋经济发展核心区，我国沿海南北航线中点附近。（任答三点） 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分）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/>
        <w:textAlignment w:val="center"/>
        <w:rPr>
          <w:rFonts w:hint="default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    （2）地处我国东部沿海；滨海平原面积较大；气候温暖湿润；海岸线曲折，多港湾；大陆架宽阔，海洋资源(海洋生物资源、海底矿产资源、海洋旅游资源)丰富。（任答三点）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（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</w:rPr>
        <w:t>分）</w:t>
      </w:r>
    </w:p>
    <w:sectPr>
      <w:pgSz w:w="11906" w:h="16838"/>
      <w:pgMar w:top="1418" w:right="1418" w:bottom="1418" w:left="1418" w:header="851" w:footer="992" w:gutter="0"/>
      <w:lnNumType w:countBy="0" w:restart="continuous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499DFF"/>
    <w:multiLevelType w:val="singleLevel"/>
    <w:tmpl w:val="84499DFF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37834442"/>
    <w:multiLevelType w:val="singleLevel"/>
    <w:tmpl w:val="37834442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56495B45"/>
    <w:multiLevelType w:val="singleLevel"/>
    <w:tmpl w:val="56495B45"/>
    <w:lvl w:ilvl="0" w:tentative="0">
      <w:start w:val="3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AF4A3E"/>
    <w:rsid w:val="003D07F0"/>
    <w:rsid w:val="035B2B95"/>
    <w:rsid w:val="04323A08"/>
    <w:rsid w:val="06263C01"/>
    <w:rsid w:val="07AC7CAE"/>
    <w:rsid w:val="07FE5B44"/>
    <w:rsid w:val="0B5E165B"/>
    <w:rsid w:val="0C42164B"/>
    <w:rsid w:val="0C8F7167"/>
    <w:rsid w:val="10624959"/>
    <w:rsid w:val="10F8568D"/>
    <w:rsid w:val="11187C65"/>
    <w:rsid w:val="11E066CB"/>
    <w:rsid w:val="12074356"/>
    <w:rsid w:val="12576E76"/>
    <w:rsid w:val="130A3F2C"/>
    <w:rsid w:val="13310377"/>
    <w:rsid w:val="13CA40F4"/>
    <w:rsid w:val="149509DC"/>
    <w:rsid w:val="14C91342"/>
    <w:rsid w:val="16320574"/>
    <w:rsid w:val="18041ADB"/>
    <w:rsid w:val="19D3522A"/>
    <w:rsid w:val="1B9B2F44"/>
    <w:rsid w:val="1DCF4336"/>
    <w:rsid w:val="1E9372DC"/>
    <w:rsid w:val="1F463473"/>
    <w:rsid w:val="20256428"/>
    <w:rsid w:val="22771313"/>
    <w:rsid w:val="22B74D32"/>
    <w:rsid w:val="256A0423"/>
    <w:rsid w:val="25895B95"/>
    <w:rsid w:val="26BF77D1"/>
    <w:rsid w:val="27B312D2"/>
    <w:rsid w:val="27B958E6"/>
    <w:rsid w:val="27E74A93"/>
    <w:rsid w:val="28086888"/>
    <w:rsid w:val="28450ABF"/>
    <w:rsid w:val="28CF388A"/>
    <w:rsid w:val="2AAF4A3E"/>
    <w:rsid w:val="2B915FAB"/>
    <w:rsid w:val="2D2D40F4"/>
    <w:rsid w:val="2D573A57"/>
    <w:rsid w:val="2DDC158F"/>
    <w:rsid w:val="2E5B3FFF"/>
    <w:rsid w:val="2E987D5E"/>
    <w:rsid w:val="31A8138F"/>
    <w:rsid w:val="324B063B"/>
    <w:rsid w:val="3455609D"/>
    <w:rsid w:val="34AA1BE6"/>
    <w:rsid w:val="35606899"/>
    <w:rsid w:val="359A68D4"/>
    <w:rsid w:val="35A50C79"/>
    <w:rsid w:val="36136612"/>
    <w:rsid w:val="367732CE"/>
    <w:rsid w:val="3682422B"/>
    <w:rsid w:val="376E2785"/>
    <w:rsid w:val="3A622453"/>
    <w:rsid w:val="3B503CF0"/>
    <w:rsid w:val="3B723C20"/>
    <w:rsid w:val="3BBD2236"/>
    <w:rsid w:val="3D8D4755"/>
    <w:rsid w:val="3DC420D9"/>
    <w:rsid w:val="3FAE396F"/>
    <w:rsid w:val="400A654A"/>
    <w:rsid w:val="419F6AE6"/>
    <w:rsid w:val="423D5590"/>
    <w:rsid w:val="43595A7B"/>
    <w:rsid w:val="435A4667"/>
    <w:rsid w:val="441C4A3D"/>
    <w:rsid w:val="45183124"/>
    <w:rsid w:val="46A75ABD"/>
    <w:rsid w:val="47A108AF"/>
    <w:rsid w:val="493228CE"/>
    <w:rsid w:val="49607479"/>
    <w:rsid w:val="4A371C66"/>
    <w:rsid w:val="4AE4699F"/>
    <w:rsid w:val="51E161B7"/>
    <w:rsid w:val="53E963F2"/>
    <w:rsid w:val="54724876"/>
    <w:rsid w:val="54D4639B"/>
    <w:rsid w:val="552715B3"/>
    <w:rsid w:val="553B336C"/>
    <w:rsid w:val="55BA1484"/>
    <w:rsid w:val="56230466"/>
    <w:rsid w:val="57E9232A"/>
    <w:rsid w:val="588F21CC"/>
    <w:rsid w:val="5AB47FAB"/>
    <w:rsid w:val="5AC20AB5"/>
    <w:rsid w:val="5C5B56BC"/>
    <w:rsid w:val="5C86029F"/>
    <w:rsid w:val="5D0E6004"/>
    <w:rsid w:val="5D4A5198"/>
    <w:rsid w:val="5D7766AE"/>
    <w:rsid w:val="5E254F9B"/>
    <w:rsid w:val="60871CB9"/>
    <w:rsid w:val="61000EC2"/>
    <w:rsid w:val="6357176A"/>
    <w:rsid w:val="67477AC8"/>
    <w:rsid w:val="68706AC9"/>
    <w:rsid w:val="6B8F0442"/>
    <w:rsid w:val="6BD96772"/>
    <w:rsid w:val="6C3E758E"/>
    <w:rsid w:val="6F4122B7"/>
    <w:rsid w:val="6F67069A"/>
    <w:rsid w:val="72A41DF5"/>
    <w:rsid w:val="731F0C2B"/>
    <w:rsid w:val="73945A72"/>
    <w:rsid w:val="73AE4585"/>
    <w:rsid w:val="752D109F"/>
    <w:rsid w:val="7848676D"/>
    <w:rsid w:val="7C6F1D66"/>
    <w:rsid w:val="7DAA6469"/>
    <w:rsid w:val="7E70776D"/>
    <w:rsid w:val="7F6A3935"/>
    <w:rsid w:val="7FE77C8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9">
    <w:name w:val="正文_0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5038</Words>
  <Characters>5413</Characters>
  <Lines>0</Lines>
  <Paragraphs>0</Paragraphs>
  <TotalTime>0</TotalTime>
  <ScaleCrop>false</ScaleCrop>
  <LinksUpToDate>false</LinksUpToDate>
  <CharactersWithSpaces>5896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2020-05-20T10:18:00Z</dcterms:created>
  <dc:creator>Administrator</dc:creator>
  <cp:lastModifiedBy>Administrator</cp:lastModifiedBy>
  <dcterms:modified xsi:type="dcterms:W3CDTF">2020-09-02T05:35:18Z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